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9E470">
      <w:pPr>
        <w:spacing w:line="276" w:lineRule="auto"/>
        <w:jc w:val="center"/>
        <w:rPr>
          <w:rFonts w:ascii="黑体" w:hAnsi="Calibri" w:eastAsia="黑体" w:cs="Times New Roman"/>
          <w:sz w:val="40"/>
          <w:szCs w:val="28"/>
        </w:rPr>
      </w:pPr>
      <w:r>
        <w:rPr>
          <w:rFonts w:hint="eastAsia" w:ascii="黑体" w:hAnsi="Calibri" w:eastAsia="黑体" w:cs="Times New Roman"/>
          <w:sz w:val="40"/>
          <w:szCs w:val="28"/>
        </w:rPr>
        <w:t>安徽交控徽风皖韵太平湖酒店</w:t>
      </w:r>
      <w:r>
        <w:rPr>
          <w:rFonts w:hint="eastAsia" w:ascii="黑体" w:hAnsi="Calibri" w:eastAsia="黑体" w:cs="Times New Roman"/>
          <w:sz w:val="40"/>
          <w:szCs w:val="28"/>
          <w:lang w:eastAsia="zh-CN"/>
        </w:rPr>
        <w:t>2025</w:t>
      </w:r>
      <w:r>
        <w:rPr>
          <w:rFonts w:hint="eastAsia" w:ascii="黑体" w:hAnsi="Calibri" w:eastAsia="黑体" w:cs="Times New Roman"/>
          <w:sz w:val="40"/>
          <w:szCs w:val="28"/>
        </w:rPr>
        <w:t>年酒水及包装食品采购合同</w:t>
      </w:r>
    </w:p>
    <w:p w14:paraId="5B634DCC">
      <w:pPr>
        <w:spacing w:line="276" w:lineRule="auto"/>
        <w:jc w:val="center"/>
        <w:rPr>
          <w:rFonts w:ascii="黑体" w:hAnsi="Calibri" w:eastAsia="黑体" w:cs="Times New Roman"/>
          <w:sz w:val="28"/>
          <w:szCs w:val="28"/>
        </w:rPr>
      </w:pPr>
    </w:p>
    <w:p w14:paraId="02E592AB">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采购方：（甲方）：</w:t>
      </w:r>
    </w:p>
    <w:p w14:paraId="4B75EA5D">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联系地址：</w:t>
      </w:r>
    </w:p>
    <w:p w14:paraId="587EEF39">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联系方式：</w:t>
      </w:r>
    </w:p>
    <w:p w14:paraId="68E174E2">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供应方：（乙方）：</w:t>
      </w:r>
    </w:p>
    <w:p w14:paraId="355018FE">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联系地址：</w:t>
      </w:r>
    </w:p>
    <w:p w14:paraId="336164BF">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联系方式：</w:t>
      </w:r>
    </w:p>
    <w:p w14:paraId="59403FDF">
      <w:pPr>
        <w:spacing w:line="276" w:lineRule="auto"/>
        <w:ind w:firstLine="482" w:firstLineChars="200"/>
        <w:jc w:val="left"/>
        <w:rPr>
          <w:rFonts w:ascii="宋体" w:hAnsi="宋体" w:eastAsia="宋体" w:cs="Times New Roman"/>
          <w:b/>
          <w:bCs/>
          <w:sz w:val="24"/>
        </w:rPr>
      </w:pPr>
    </w:p>
    <w:p w14:paraId="07930E34">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根据《中华人民共和国民法典》及相关法律法规规定，双方本着友好协商，平等互利的原则，在诚实守信的基础上，签订如下协议，共同遵守。</w:t>
      </w:r>
    </w:p>
    <w:p w14:paraId="6F8D45A0">
      <w:pPr>
        <w:spacing w:line="276" w:lineRule="auto"/>
        <w:ind w:firstLine="482" w:firstLineChars="200"/>
        <w:jc w:val="left"/>
        <w:rPr>
          <w:rFonts w:ascii="宋体" w:hAnsi="宋体" w:eastAsia="宋体" w:cs="Times New Roman"/>
          <w:b/>
          <w:sz w:val="24"/>
        </w:rPr>
      </w:pPr>
      <w:r>
        <w:rPr>
          <w:rFonts w:hint="eastAsia" w:ascii="宋体" w:hAnsi="宋体" w:eastAsia="宋体" w:cs="Times New Roman"/>
          <w:b/>
          <w:sz w:val="24"/>
        </w:rPr>
        <w:t>一、合同标的（产品名称、规格、单价）及履行期限</w:t>
      </w:r>
    </w:p>
    <w:p w14:paraId="51F57682">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1、甲方酒水（白酒、红酒、啤酒、饮料等）及包装食品（简称“货物”）由乙方供应，货物品种、名称、规格、单价详见附表。</w:t>
      </w:r>
    </w:p>
    <w:p w14:paraId="545D4D3F">
      <w:pPr>
        <w:spacing w:line="276" w:lineRule="auto"/>
        <w:ind w:firstLine="480" w:firstLineChars="200"/>
        <w:jc w:val="left"/>
        <w:rPr>
          <w:rFonts w:ascii="宋体" w:hAnsi="宋体" w:eastAsia="宋体" w:cs="Times New Roman"/>
          <w:sz w:val="24"/>
        </w:rPr>
      </w:pPr>
      <w:r>
        <w:rPr>
          <w:rFonts w:ascii="宋体" w:hAnsi="宋体" w:eastAsia="宋体" w:cs="Times New Roman"/>
          <w:sz w:val="24"/>
        </w:rPr>
        <w:t>2</w:t>
      </w:r>
      <w:r>
        <w:rPr>
          <w:rFonts w:hint="eastAsia" w:ascii="宋体" w:hAnsi="宋体" w:eastAsia="宋体" w:cs="Times New Roman"/>
          <w:sz w:val="24"/>
        </w:rPr>
        <w:t>、合同期限内，货物单价固定。</w:t>
      </w:r>
    </w:p>
    <w:p w14:paraId="65FE8FE0">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3、货物配送至甲方时的剩余保质期不得少于货物本身总保质期的三分之二，如有违反此项要求一律按退货处理，交货期限不予顺延。</w:t>
      </w:r>
    </w:p>
    <w:p w14:paraId="36E0DB2F">
      <w:pPr>
        <w:spacing w:line="276" w:lineRule="auto"/>
        <w:ind w:firstLine="480" w:firstLineChars="200"/>
        <w:jc w:val="left"/>
        <w:rPr>
          <w:rFonts w:ascii="宋体" w:hAnsi="宋体" w:eastAsia="宋体" w:cs="Times New Roman"/>
          <w:sz w:val="24"/>
        </w:rPr>
      </w:pPr>
      <w:r>
        <w:rPr>
          <w:rFonts w:ascii="宋体" w:hAnsi="宋体" w:eastAsia="宋体" w:cs="Times New Roman"/>
          <w:sz w:val="24"/>
        </w:rPr>
        <w:t>4</w:t>
      </w:r>
      <w:r>
        <w:rPr>
          <w:rFonts w:hint="eastAsia" w:ascii="宋体" w:hAnsi="宋体" w:eastAsia="宋体" w:cs="Times New Roman"/>
          <w:sz w:val="24"/>
        </w:rPr>
        <w:t>、供货期一年，自   年   月   日至   年   月   日止。</w:t>
      </w:r>
    </w:p>
    <w:p w14:paraId="6A2691EA">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二、交货时间及地点</w:t>
      </w:r>
    </w:p>
    <w:p w14:paraId="70CB9A7E">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甲方向乙方以电话、邮件、微信、手机短信等形式下单，乙方必须在3小时内接受订单（乙方未回复视为已接受订单），乙方收到甲方通知后按照甲方指定时间保质保量将酒水送达甲方指定地点，没有指定时间的，24个小时内将酒水送到甲方指定仓库。</w:t>
      </w:r>
    </w:p>
    <w:p w14:paraId="024A5079">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2、运送过程中货物的装卸由乙方负责，货交甲方验收合格前，货物毁损、灭失或因乙方履约行为引发的一切人身、财产损害的均由乙方自行承担相关风险和责任。</w:t>
      </w:r>
    </w:p>
    <w:p w14:paraId="7ED89606">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乙方指定接收货物订单联系人：</w:t>
      </w:r>
      <w:r>
        <w:rPr>
          <w:rFonts w:hint="eastAsia" w:ascii="宋体" w:hAnsi="宋体" w:eastAsia="宋体" w:cs="Times New Roman"/>
          <w:sz w:val="24"/>
          <w:u w:val="single"/>
        </w:rPr>
        <w:t xml:space="preserve">     </w:t>
      </w:r>
      <w:r>
        <w:rPr>
          <w:rFonts w:hint="eastAsia" w:ascii="宋体" w:hAnsi="宋体" w:eastAsia="宋体" w:cs="Times New Roman"/>
          <w:sz w:val="24"/>
        </w:rPr>
        <w:t>联系方式：</w:t>
      </w:r>
      <w:r>
        <w:rPr>
          <w:rFonts w:hint="eastAsia" w:ascii="宋体" w:hAnsi="宋体" w:eastAsia="宋体" w:cs="Times New Roman"/>
          <w:sz w:val="24"/>
          <w:u w:val="single"/>
        </w:rPr>
        <w:t xml:space="preserve">      </w:t>
      </w:r>
      <w:r>
        <w:rPr>
          <w:rFonts w:hint="eastAsia" w:ascii="宋体" w:hAnsi="宋体" w:eastAsia="宋体" w:cs="Times New Roman"/>
          <w:sz w:val="24"/>
        </w:rPr>
        <w:t>邮箱地址:</w:t>
      </w:r>
      <w:r>
        <w:rPr>
          <w:rFonts w:hint="eastAsia" w:ascii="宋体" w:hAnsi="宋体" w:eastAsia="宋体" w:cs="Times New Roman"/>
          <w:sz w:val="24"/>
          <w:u w:val="single"/>
        </w:rPr>
        <w:t xml:space="preserve">    。</w:t>
      </w:r>
    </w:p>
    <w:p w14:paraId="33A93C24">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三、产品包装</w:t>
      </w:r>
    </w:p>
    <w:p w14:paraId="0E1934D9">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1、适合长途运输及多次搬运的要求，有必要的产品质量保护、防水、防漏等措施，使之完好、安全到达甲方指定地点，任何由于包装不妥所造成的损失由乙方承担。</w:t>
      </w:r>
    </w:p>
    <w:p w14:paraId="30344E04">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2、外包装为原厂原封，且外包装上必须标明产品名称、规格、数量、厂名、厂址。</w:t>
      </w:r>
    </w:p>
    <w:p w14:paraId="18466ADD">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四、质量要求</w:t>
      </w:r>
    </w:p>
    <w:p w14:paraId="775944CF">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 xml:space="preserve">1、乙方所供商品需符合国家相关法律法规、行业规定，并对其所供应的商品质量安全负责。 </w:t>
      </w:r>
    </w:p>
    <w:p w14:paraId="067F8880">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乙方应当根据《中华人民共和国食品卫生法》、《酒类流通管理办法》等相关法律法规向甲方提供不限于以下的相关索证资料：乙方的营业执照、卫生许可证、酒类流通备案登记表等复印件；每批酒类商品有效的产品质量检验合格证明复印件以及加盖酒类经营者印章的《酒类流通随附单》；进口酒类商品的国家出入境检验检疫部门核发的《进口食品卫生证书》和《进口食品标签审核证书》复印件。</w:t>
      </w:r>
    </w:p>
    <w:p w14:paraId="0B8E53E8">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3、如乙方所供产品发生质量、安全问题，由乙方承担全部责任并负责及时处理相关事宜。</w:t>
      </w:r>
    </w:p>
    <w:p w14:paraId="12342BC2">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五、验收标准</w:t>
      </w:r>
    </w:p>
    <w:p w14:paraId="4BFA54D1">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1、乙方按时将货物送到甲方指定地点，甲方按订单内容收货，产品的名称、规格、数量均以订单的要求为准。</w:t>
      </w:r>
    </w:p>
    <w:p w14:paraId="5E61636A">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2、验收过程中甲方发现乙方所供货物有质量问题时，甲方有权拒收，并做退、换货处理，乙方不得拒绝，必须按甲方要求负责及时回收、更换货物并承担相关费用和延迟交货的责任。</w:t>
      </w:r>
    </w:p>
    <w:p w14:paraId="25B360DE">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3、验收过程中发现数量短缺的，乙方必须按甲方订单上的数量及时补差，并承担相关费用和延迟交货责任。</w:t>
      </w:r>
    </w:p>
    <w:p w14:paraId="4D5697D9">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4、验收过程中发现乙方供货超出甲方订单数量的，甲方有权拒收，乙方应在当日自担费用负责将多余货物运出甲方场所，否则乙方应按照500元/天支付甲方场地使用费，且货物由此产生的损失由乙方自行承担。</w:t>
      </w:r>
    </w:p>
    <w:p w14:paraId="5ABF5F1F">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 xml:space="preserve">5、货物验收后，甲乙双方人员确认无误后签字，经双方签字后的货物验收表作为结算时的依据。甲方验收签字代表人为 </w:t>
      </w:r>
      <w:r>
        <w:rPr>
          <w:rFonts w:ascii="宋体" w:hAnsi="宋体" w:eastAsia="宋体" w:cs="Times New Roman"/>
          <w:sz w:val="24"/>
        </w:rPr>
        <w:t xml:space="preserve">           </w:t>
      </w:r>
      <w:r>
        <w:rPr>
          <w:rFonts w:hint="eastAsia" w:ascii="宋体" w:hAnsi="宋体" w:eastAsia="宋体" w:cs="Times New Roman"/>
          <w:sz w:val="24"/>
        </w:rPr>
        <w:t>。</w:t>
      </w:r>
    </w:p>
    <w:p w14:paraId="67978121">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六、结算及付款</w:t>
      </w:r>
    </w:p>
    <w:p w14:paraId="0D702E8C">
      <w:pPr>
        <w:spacing w:line="276" w:lineRule="auto"/>
        <w:ind w:firstLine="480" w:firstLineChars="200"/>
        <w:jc w:val="left"/>
        <w:rPr>
          <w:rFonts w:ascii="宋体" w:hAnsi="宋体" w:eastAsia="宋体" w:cs="Times New Roman"/>
          <w:color w:val="000000"/>
          <w:sz w:val="24"/>
        </w:rPr>
      </w:pPr>
      <w:r>
        <w:rPr>
          <w:rFonts w:ascii="宋体" w:hAnsi="宋体" w:eastAsia="宋体" w:cs="Times New Roman"/>
          <w:color w:val="000000"/>
          <w:sz w:val="24"/>
        </w:rPr>
        <w:t>1、乙方提供当期的甲方收货记录、双方签字确认的货物验收表办理结算，甲方于结算后隔月月底支付（如：2020年01月份货款于2020年03月底给予支付）。</w:t>
      </w:r>
    </w:p>
    <w:p w14:paraId="64F2C690">
      <w:pPr>
        <w:spacing w:line="276" w:lineRule="auto"/>
        <w:ind w:firstLine="480" w:firstLineChars="200"/>
        <w:jc w:val="left"/>
        <w:rPr>
          <w:rFonts w:ascii="宋体" w:hAnsi="宋体" w:eastAsia="宋体" w:cs="Times New Roman"/>
          <w:color w:val="000000"/>
          <w:sz w:val="24"/>
        </w:rPr>
      </w:pPr>
      <w:r>
        <w:rPr>
          <w:rFonts w:ascii="宋体" w:hAnsi="宋体" w:eastAsia="宋体" w:cs="Times New Roman"/>
          <w:color w:val="000000"/>
          <w:sz w:val="24"/>
        </w:rPr>
        <w:t>2</w:t>
      </w:r>
      <w:r>
        <w:rPr>
          <w:rFonts w:hint="eastAsia" w:ascii="宋体" w:hAnsi="宋体" w:eastAsia="宋体" w:cs="Times New Roman"/>
          <w:color w:val="000000"/>
          <w:sz w:val="24"/>
        </w:rPr>
        <w:t>、甲方始终保留乙方一个月货款作为履约保证金，甲方扣除足额履约保证金及相关违约金（如有）、收到乙方增值税</w:t>
      </w:r>
      <w:r>
        <w:rPr>
          <w:rFonts w:hint="eastAsia" w:ascii="宋体" w:hAnsi="宋体" w:eastAsia="宋体" w:cs="Times New Roman"/>
          <w:color w:val="000000"/>
          <w:sz w:val="24"/>
          <w:lang w:val="en-US" w:eastAsia="zh-CN"/>
        </w:rPr>
        <w:t>专用</w:t>
      </w:r>
      <w:r>
        <w:rPr>
          <w:rFonts w:hint="eastAsia" w:ascii="宋体" w:hAnsi="宋体" w:eastAsia="宋体" w:cs="Times New Roman"/>
          <w:color w:val="000000"/>
          <w:sz w:val="24"/>
        </w:rPr>
        <w:t>发票后，将货款转账支付至乙方以下账户：</w:t>
      </w:r>
    </w:p>
    <w:p w14:paraId="4ED2B41C">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户名：</w:t>
      </w:r>
    </w:p>
    <w:p w14:paraId="461F4F36">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账号：</w:t>
      </w:r>
    </w:p>
    <w:p w14:paraId="168B6BBE">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开户行：</w:t>
      </w:r>
    </w:p>
    <w:p w14:paraId="55743ED1">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3、乙方未及时提供足额增值税</w:t>
      </w:r>
      <w:r>
        <w:rPr>
          <w:rFonts w:hint="eastAsia" w:ascii="宋体" w:hAnsi="宋体" w:eastAsia="宋体" w:cs="Times New Roman"/>
          <w:sz w:val="24"/>
          <w:lang w:val="en-US" w:eastAsia="zh-CN"/>
        </w:rPr>
        <w:t>专用</w:t>
      </w:r>
      <w:bookmarkStart w:id="1" w:name="_GoBack"/>
      <w:bookmarkEnd w:id="1"/>
      <w:r>
        <w:rPr>
          <w:rFonts w:hint="eastAsia" w:ascii="宋体" w:hAnsi="宋体" w:eastAsia="宋体" w:cs="Times New Roman"/>
          <w:sz w:val="24"/>
        </w:rPr>
        <w:t>发票的甲方有权拒绝支付各类款项并不承担任何违约责任。</w:t>
      </w:r>
    </w:p>
    <w:p w14:paraId="5A48FA35">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4、乙方报价中已含有增值税税额，如因国家税收政策导致增值税率变化的，货款的不含税金额不变，增值税税额及合同总额（含税价）相应变更。</w:t>
      </w:r>
    </w:p>
    <w:p w14:paraId="5831D270">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七、甲、乙双方权利和义务</w:t>
      </w:r>
    </w:p>
    <w:p w14:paraId="717EA09A">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（一）甲方权利和义务：</w:t>
      </w:r>
    </w:p>
    <w:p w14:paraId="5F8F032B">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1、乙方配送的产品在甲方酒店内的销售价格由甲方自行定价。</w:t>
      </w:r>
    </w:p>
    <w:p w14:paraId="24557EAB">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2、乙方供应给甲方的产品若未能及时销售完且产品离保质期不足60天，或有自然挥发或包装不完好等现象，乙方应在甲方通知后予以立即调换，除上述情况外乙方有权拒绝调换。</w:t>
      </w:r>
    </w:p>
    <w:p w14:paraId="666E5D60">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3、按约定时间向乙方支付货款。</w:t>
      </w:r>
    </w:p>
    <w:p w14:paraId="664DD07F">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（二）乙方权利和义务：</w:t>
      </w:r>
    </w:p>
    <w:p w14:paraId="2104EEAD">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1、乙方供应的产品需符合国家规定的标准及甲方要求，确保无假冒伪劣产品；若乙方供应货物为假冒伪劣产品，乙方应按销售货款的十倍赔偿甲方，且甲方有权解除合同。</w:t>
      </w:r>
    </w:p>
    <w:p w14:paraId="5C935943">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2、乙方价格如有变动应提前一个星期以书面的形式通知甲方，甲方进行市场询价后双方可另行书面商定价格，新价格从甲方书面确认后次月开始执行。如双方不能达成一致意见，双方以本合同价格据实结算。</w:t>
      </w:r>
    </w:p>
    <w:p w14:paraId="78EAE9C0">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乙方委派一名产品售后服务人员，配合甲方进行售后服务工作，乙方服务人员应严格遵守甲方相关规章制度，以不影响甲方正常营业、不勉强客人消费为原则，甲方在经营过程中若发现此项有碍甲方正常营业或其它问题，甲方有权要求乙方更换人员。</w:t>
      </w:r>
    </w:p>
    <w:p w14:paraId="36F920C1">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4、乙方提供的酒水因质量问题所引起消费者投诉或发生人身安全事故，相关责任与损失全部由乙方承担，甲方有权单方解除合同、退还所有剩余存货，并由乙方向甲方支付合同价款30%的违约金，违约金不足以赔偿甲方损失的由乙方补足。</w:t>
      </w:r>
    </w:p>
    <w:p w14:paraId="726E2ED6">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5、产品出现质量问题，除属于甲方使用操作不当造成以外，乙方应赔偿甲方所有损失，损失包括但不限于检验费、退货和换货的运费、仓储费、装卸费、保险费及诉讼中的律师费以及甲方因此造成的其他损失。</w:t>
      </w:r>
    </w:p>
    <w:p w14:paraId="4D4AAB41">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八、不可抗力</w:t>
      </w:r>
    </w:p>
    <w:p w14:paraId="509561FF">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任何一方由于不可抗力，应在遭遇不可抗力事件后7天内向对方通报并应在10天内向对方提供有关机构的证明，以减轻可能给对方造成的损失。</w:t>
      </w:r>
    </w:p>
    <w:p w14:paraId="05633E5F">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九、违约责任</w:t>
      </w:r>
    </w:p>
    <w:p w14:paraId="3D2336F2">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1、甲方无故逾期付款的，应支付乙方逾期付款金额每日0.03%的违约金。</w:t>
      </w:r>
    </w:p>
    <w:p w14:paraId="725CD51E">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2、乙方每延迟一日供货，按逾期交货部分总额的0.3%向甲方支付违约金；延迟达3日的，甲方有权单方解除合同，由乙方按合同总额的30%向甲方支付违约金。</w:t>
      </w:r>
    </w:p>
    <w:p w14:paraId="3BF4A369">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3、如乙方有下列情形之一的，甲方有权解除合同，乙方需支付甲方合同价款30%的违约金，违约金不足以弥补甲方损失的，乙方还应予以补足：</w:t>
      </w:r>
    </w:p>
    <w:p w14:paraId="1B117163">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3.1乙方存在任何形式的违反合同条款行为、欺诈行为或隐瞒事实行为；</w:t>
      </w:r>
    </w:p>
    <w:p w14:paraId="3D5AE17C">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3.2乙方未能按照甲方需求的数量、标准、时间提供货物，并拒绝改正；</w:t>
      </w:r>
    </w:p>
    <w:p w14:paraId="68861A31">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3.3有贿赂甲方员工的现象或行为；</w:t>
      </w:r>
    </w:p>
    <w:p w14:paraId="73C6D315">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3.4因乙方提供的酒水品质原因，导致甲方顾客投诉或索赔的；</w:t>
      </w:r>
    </w:p>
    <w:p w14:paraId="18FD1D81">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3.5因乙方提供的酒水出现食品卫生事件的。</w:t>
      </w:r>
    </w:p>
    <w:p w14:paraId="7272DE3C">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4、非因对方违约，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但不限于直接经济损失及相关的律师费、诉讼费等间接损失）。</w:t>
      </w:r>
    </w:p>
    <w:p w14:paraId="1A0862B7">
      <w:pPr>
        <w:spacing w:line="276"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十、其他</w:t>
      </w:r>
    </w:p>
    <w:p w14:paraId="140E3142">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1、合同自双方法定代表人签名且公司盖章之日起生效。</w:t>
      </w:r>
    </w:p>
    <w:p w14:paraId="3904CBB7">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2、本合同文本一式伍份，甲方执肆份，乙方执壹份，具同等法律效力。</w:t>
      </w:r>
    </w:p>
    <w:p w14:paraId="05EC9AD2">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3、双方如果发生争议，应当友好协商解决。如协商不成，任何一方均可依法向甲方所在地人民法院提起诉讼。</w:t>
      </w:r>
    </w:p>
    <w:p w14:paraId="650C435A">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4、合同如有未尽事宜，须经双方共同协商，做出补充协议，补充协议与本合同具有同等效力。</w:t>
      </w:r>
    </w:p>
    <w:p w14:paraId="37EEAAE8">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5、本合同首页中双方承诺提供的联系地址、联系人、联系电话（统称联系方式）均真实有效。双方往来通知应被视为在下列条件下送达：</w:t>
      </w:r>
    </w:p>
    <w:p w14:paraId="55A3AD9C">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 双方同意，本条约定的联系方式适用于后续诉讼。</w:t>
      </w:r>
    </w:p>
    <w:p w14:paraId="0D5A6930">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6、本合同的附录以及本合同及附件一、二、三、四为本合同不可分割的组成部分，并且与本合同正文的条款具有同等效力。</w:t>
      </w:r>
    </w:p>
    <w:p w14:paraId="1F9A2FBA">
      <w:pPr>
        <w:spacing w:line="276" w:lineRule="auto"/>
        <w:ind w:firstLine="480" w:firstLineChars="200"/>
        <w:jc w:val="left"/>
        <w:rPr>
          <w:rFonts w:ascii="宋体" w:hAnsi="宋体" w:eastAsia="宋体" w:cs="Times New Roman"/>
          <w:sz w:val="24"/>
        </w:rPr>
      </w:pPr>
    </w:p>
    <w:p w14:paraId="66FDD8C9">
      <w:pPr>
        <w:spacing w:line="276" w:lineRule="auto"/>
        <w:ind w:firstLine="480" w:firstLineChars="200"/>
        <w:jc w:val="left"/>
        <w:rPr>
          <w:rFonts w:ascii="宋体" w:hAnsi="宋体" w:eastAsia="宋体" w:cs="Times New Roman"/>
          <w:sz w:val="24"/>
        </w:rPr>
      </w:pPr>
    </w:p>
    <w:p w14:paraId="3448A0C4">
      <w:pPr>
        <w:spacing w:line="276" w:lineRule="auto"/>
        <w:ind w:firstLine="480" w:firstLineChars="200"/>
        <w:jc w:val="left"/>
        <w:rPr>
          <w:rFonts w:ascii="宋体" w:hAnsi="宋体" w:eastAsia="宋体" w:cs="Times New Roman"/>
          <w:sz w:val="24"/>
        </w:rPr>
      </w:pPr>
    </w:p>
    <w:p w14:paraId="75DAFC03">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甲方（签字盖章）：            乙方（签字盖章）：</w:t>
      </w:r>
    </w:p>
    <w:p w14:paraId="53B33642">
      <w:pPr>
        <w:spacing w:line="276" w:lineRule="auto"/>
        <w:ind w:firstLine="480" w:firstLineChars="200"/>
        <w:jc w:val="left"/>
        <w:rPr>
          <w:rFonts w:ascii="宋体" w:hAnsi="宋体" w:eastAsia="宋体" w:cs="Times New Roman"/>
          <w:sz w:val="24"/>
        </w:rPr>
      </w:pPr>
    </w:p>
    <w:p w14:paraId="5E5CA468">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 xml:space="preserve">法定代表人/委托代理人：    </w:t>
      </w:r>
      <w:r>
        <w:rPr>
          <w:rFonts w:ascii="宋体" w:hAnsi="宋体" w:eastAsia="宋体" w:cs="Times New Roman"/>
          <w:sz w:val="24"/>
        </w:rPr>
        <w:t xml:space="preserve">  </w:t>
      </w:r>
      <w:r>
        <w:rPr>
          <w:rFonts w:hint="eastAsia" w:ascii="宋体" w:hAnsi="宋体" w:eastAsia="宋体" w:cs="Times New Roman"/>
          <w:sz w:val="24"/>
        </w:rPr>
        <w:t>法定代表人/委托代理人：</w:t>
      </w:r>
    </w:p>
    <w:p w14:paraId="33E972CB">
      <w:pPr>
        <w:spacing w:line="276" w:lineRule="auto"/>
        <w:jc w:val="left"/>
        <w:rPr>
          <w:rFonts w:ascii="宋体" w:hAnsi="宋体" w:eastAsia="宋体" w:cs="Times New Roman"/>
          <w:sz w:val="24"/>
        </w:rPr>
      </w:pPr>
    </w:p>
    <w:p w14:paraId="1D8E8EDC">
      <w:pPr>
        <w:spacing w:line="276" w:lineRule="auto"/>
        <w:ind w:firstLine="480" w:firstLineChars="200"/>
        <w:jc w:val="left"/>
        <w:rPr>
          <w:rFonts w:ascii="宋体" w:hAnsi="宋体" w:eastAsia="宋体" w:cs="Times New Roman"/>
          <w:sz w:val="24"/>
        </w:rPr>
      </w:pPr>
      <w:r>
        <w:rPr>
          <w:rFonts w:hint="eastAsia" w:ascii="宋体" w:hAnsi="宋体" w:eastAsia="宋体" w:cs="Times New Roman"/>
          <w:sz w:val="24"/>
        </w:rPr>
        <w:t xml:space="preserve">签订时间：年   月    日　　          </w:t>
      </w:r>
    </w:p>
    <w:p w14:paraId="3B7B7D0A">
      <w:pPr>
        <w:widowControl/>
        <w:jc w:val="left"/>
        <w:rPr>
          <w:rFonts w:ascii="Calibri" w:hAnsi="Calibri" w:eastAsia="宋体" w:cs="Times New Roman"/>
          <w:b/>
          <w:bCs/>
          <w:sz w:val="24"/>
          <w:szCs w:val="28"/>
        </w:rPr>
      </w:pPr>
      <w:r>
        <w:rPr>
          <w:rFonts w:ascii="Calibri" w:hAnsi="Calibri" w:eastAsia="宋体" w:cs="Times New Roman"/>
          <w:b/>
          <w:bCs/>
          <w:sz w:val="24"/>
          <w:szCs w:val="28"/>
        </w:rPr>
        <w:br w:type="page"/>
      </w:r>
    </w:p>
    <w:p w14:paraId="3CC6E3AD">
      <w:pPr>
        <w:spacing w:line="276" w:lineRule="auto"/>
        <w:ind w:firstLine="482" w:firstLineChars="200"/>
        <w:jc w:val="left"/>
        <w:rPr>
          <w:rFonts w:ascii="Calibri" w:hAnsi="Calibri" w:eastAsia="宋体" w:cs="Times New Roman"/>
          <w:b/>
          <w:bCs/>
          <w:sz w:val="24"/>
          <w:szCs w:val="28"/>
        </w:rPr>
      </w:pPr>
      <w:r>
        <w:rPr>
          <w:rFonts w:hint="eastAsia" w:ascii="Calibri" w:hAnsi="Calibri" w:eastAsia="宋体" w:cs="Times New Roman"/>
          <w:b/>
          <w:bCs/>
          <w:sz w:val="24"/>
          <w:szCs w:val="28"/>
        </w:rPr>
        <w:t>合同附件一：</w:t>
      </w:r>
    </w:p>
    <w:p w14:paraId="2958EA5E">
      <w:pPr>
        <w:spacing w:line="276" w:lineRule="auto"/>
        <w:ind w:firstLine="643" w:firstLineChars="200"/>
        <w:jc w:val="center"/>
        <w:rPr>
          <w:rFonts w:ascii="Calibri" w:hAnsi="Calibri" w:eastAsia="宋体" w:cs="Times New Roman"/>
          <w:b/>
          <w:bCs/>
          <w:kern w:val="0"/>
          <w:sz w:val="32"/>
          <w:szCs w:val="32"/>
        </w:rPr>
      </w:pPr>
      <w:r>
        <w:rPr>
          <w:rFonts w:hint="eastAsia" w:ascii="Calibri" w:hAnsi="Calibri" w:eastAsia="宋体" w:cs="Times New Roman"/>
          <w:b/>
          <w:bCs/>
          <w:kern w:val="0"/>
          <w:sz w:val="32"/>
          <w:szCs w:val="32"/>
        </w:rPr>
        <w:t>安徽交控徽风皖韵太平湖酒店</w:t>
      </w:r>
    </w:p>
    <w:p w14:paraId="47C2C281">
      <w:pPr>
        <w:spacing w:line="276" w:lineRule="auto"/>
        <w:ind w:firstLine="643" w:firstLineChars="200"/>
        <w:jc w:val="center"/>
        <w:rPr>
          <w:rFonts w:ascii="Calibri" w:hAnsi="Calibri" w:eastAsia="宋体" w:cs="Times New Roman"/>
          <w:bCs/>
          <w:sz w:val="28"/>
          <w:szCs w:val="28"/>
        </w:rPr>
      </w:pPr>
      <w:r>
        <w:rPr>
          <w:rFonts w:hint="eastAsia" w:ascii="Calibri" w:hAnsi="Calibri" w:eastAsia="宋体" w:cs="Times New Roman"/>
          <w:b/>
          <w:bCs/>
          <w:kern w:val="0"/>
          <w:sz w:val="32"/>
          <w:szCs w:val="32"/>
          <w:lang w:eastAsia="zh-CN"/>
        </w:rPr>
        <w:t>2025</w:t>
      </w:r>
      <w:r>
        <w:rPr>
          <w:rFonts w:hint="eastAsia" w:ascii="Calibri" w:hAnsi="Calibri" w:eastAsia="宋体" w:cs="Times New Roman"/>
          <w:b/>
          <w:bCs/>
          <w:kern w:val="0"/>
          <w:sz w:val="32"/>
          <w:szCs w:val="32"/>
        </w:rPr>
        <w:t>年酒水及预包装食品</w:t>
      </w:r>
      <w:r>
        <w:rPr>
          <w:rFonts w:hint="eastAsia" w:ascii="Calibri" w:hAnsi="Calibri" w:eastAsia="宋体" w:cs="Times New Roman"/>
          <w:b/>
          <w:sz w:val="32"/>
          <w:szCs w:val="36"/>
        </w:rPr>
        <w:t>报价清单</w:t>
      </w:r>
    </w:p>
    <w:tbl>
      <w:tblPr>
        <w:tblStyle w:val="6"/>
        <w:tblW w:w="8359" w:type="dxa"/>
        <w:tblInd w:w="0" w:type="dxa"/>
        <w:tblLayout w:type="fixed"/>
        <w:tblCellMar>
          <w:top w:w="15" w:type="dxa"/>
          <w:left w:w="15" w:type="dxa"/>
          <w:bottom w:w="15" w:type="dxa"/>
          <w:right w:w="15" w:type="dxa"/>
        </w:tblCellMar>
      </w:tblPr>
      <w:tblGrid>
        <w:gridCol w:w="582"/>
        <w:gridCol w:w="1757"/>
        <w:gridCol w:w="1410"/>
        <w:gridCol w:w="959"/>
        <w:gridCol w:w="720"/>
        <w:gridCol w:w="780"/>
        <w:gridCol w:w="1037"/>
        <w:gridCol w:w="1114"/>
      </w:tblGrid>
      <w:tr w14:paraId="30D8AA8A">
        <w:tblPrEx>
          <w:tblCellMar>
            <w:top w:w="15" w:type="dxa"/>
            <w:left w:w="15" w:type="dxa"/>
            <w:bottom w:w="15" w:type="dxa"/>
            <w:right w:w="15" w:type="dxa"/>
          </w:tblCellMar>
        </w:tblPrEx>
        <w:trPr>
          <w:trHeight w:val="369" w:hRule="atLeast"/>
        </w:trPr>
        <w:tc>
          <w:tcPr>
            <w:tcW w:w="582" w:type="dxa"/>
            <w:vMerge w:val="restart"/>
            <w:tcBorders>
              <w:top w:val="single" w:color="000000" w:sz="4" w:space="0"/>
              <w:left w:val="single" w:color="000000" w:sz="4" w:space="0"/>
              <w:right w:val="single" w:color="000000" w:sz="4" w:space="0"/>
            </w:tcBorders>
            <w:vAlign w:val="center"/>
          </w:tcPr>
          <w:p w14:paraId="59964E18">
            <w:pPr>
              <w:widowControl/>
              <w:spacing w:line="276" w:lineRule="auto"/>
              <w:jc w:val="center"/>
              <w:textAlignment w:val="center"/>
              <w:rPr>
                <w:rFonts w:ascii="宋体" w:hAnsi="宋体" w:eastAsia="宋体" w:cs="宋体"/>
                <w:b/>
                <w:szCs w:val="21"/>
              </w:rPr>
            </w:pPr>
            <w:r>
              <w:rPr>
                <w:rFonts w:hint="eastAsia" w:ascii="宋体" w:hAnsi="宋体" w:eastAsia="宋体" w:cs="宋体"/>
                <w:b/>
                <w:kern w:val="0"/>
                <w:szCs w:val="21"/>
              </w:rPr>
              <w:t>序号</w:t>
            </w:r>
          </w:p>
        </w:tc>
        <w:tc>
          <w:tcPr>
            <w:tcW w:w="1757" w:type="dxa"/>
            <w:vMerge w:val="restart"/>
            <w:tcBorders>
              <w:top w:val="single" w:color="000000" w:sz="4" w:space="0"/>
              <w:left w:val="single" w:color="000000" w:sz="4" w:space="0"/>
              <w:right w:val="single" w:color="000000" w:sz="4" w:space="0"/>
            </w:tcBorders>
            <w:vAlign w:val="center"/>
          </w:tcPr>
          <w:p w14:paraId="2E632C4F">
            <w:pPr>
              <w:widowControl/>
              <w:spacing w:line="276" w:lineRule="auto"/>
              <w:jc w:val="center"/>
              <w:textAlignment w:val="center"/>
              <w:rPr>
                <w:rFonts w:ascii="宋体" w:hAnsi="宋体" w:eastAsia="宋体" w:cs="Dialog"/>
                <w:b/>
                <w:szCs w:val="21"/>
              </w:rPr>
            </w:pPr>
            <w:r>
              <w:rPr>
                <w:rFonts w:hint="eastAsia" w:ascii="宋体" w:hAnsi="宋体" w:eastAsia="宋体" w:cs="Dialog"/>
                <w:b/>
                <w:kern w:val="0"/>
                <w:szCs w:val="21"/>
              </w:rPr>
              <w:t>物品</w:t>
            </w:r>
            <w:r>
              <w:rPr>
                <w:rFonts w:ascii="宋体" w:hAnsi="宋体" w:eastAsia="宋体" w:cs="Dialog"/>
                <w:b/>
                <w:kern w:val="0"/>
                <w:szCs w:val="21"/>
              </w:rPr>
              <w:t>名称</w:t>
            </w:r>
          </w:p>
        </w:tc>
        <w:tc>
          <w:tcPr>
            <w:tcW w:w="1410" w:type="dxa"/>
            <w:vMerge w:val="restart"/>
            <w:tcBorders>
              <w:top w:val="single" w:color="000000" w:sz="4" w:space="0"/>
              <w:left w:val="single" w:color="000000" w:sz="4" w:space="0"/>
              <w:right w:val="single" w:color="000000" w:sz="4" w:space="0"/>
            </w:tcBorders>
            <w:vAlign w:val="center"/>
          </w:tcPr>
          <w:p w14:paraId="7E6475F9">
            <w:pPr>
              <w:widowControl/>
              <w:spacing w:line="276" w:lineRule="auto"/>
              <w:jc w:val="center"/>
              <w:textAlignment w:val="center"/>
              <w:rPr>
                <w:rFonts w:ascii="宋体" w:hAnsi="宋体" w:eastAsia="宋体" w:cs="宋体"/>
                <w:b/>
                <w:szCs w:val="21"/>
              </w:rPr>
            </w:pPr>
            <w:r>
              <w:rPr>
                <w:rFonts w:hint="eastAsia" w:ascii="宋体" w:hAnsi="宋体" w:eastAsia="宋体" w:cs="宋体"/>
                <w:b/>
                <w:kern w:val="0"/>
                <w:szCs w:val="21"/>
              </w:rPr>
              <w:t>规格</w:t>
            </w:r>
          </w:p>
        </w:tc>
        <w:tc>
          <w:tcPr>
            <w:tcW w:w="959" w:type="dxa"/>
            <w:vMerge w:val="restart"/>
            <w:tcBorders>
              <w:top w:val="single" w:color="000000" w:sz="4" w:space="0"/>
              <w:left w:val="single" w:color="000000" w:sz="4" w:space="0"/>
              <w:right w:val="single" w:color="auto" w:sz="4" w:space="0"/>
            </w:tcBorders>
            <w:vAlign w:val="center"/>
          </w:tcPr>
          <w:p w14:paraId="59229D7D">
            <w:pPr>
              <w:widowControl/>
              <w:spacing w:line="276" w:lineRule="auto"/>
              <w:jc w:val="center"/>
              <w:textAlignment w:val="center"/>
              <w:rPr>
                <w:rFonts w:ascii="宋体" w:hAnsi="宋体" w:eastAsia="宋体" w:cs="宋体"/>
                <w:b/>
                <w:szCs w:val="21"/>
              </w:rPr>
            </w:pPr>
            <w:r>
              <w:rPr>
                <w:rFonts w:hint="eastAsia" w:ascii="宋体" w:hAnsi="宋体" w:eastAsia="宋体" w:cs="宋体"/>
                <w:b/>
                <w:kern w:val="0"/>
                <w:szCs w:val="21"/>
              </w:rPr>
              <w:t>单位</w:t>
            </w:r>
          </w:p>
        </w:tc>
        <w:tc>
          <w:tcPr>
            <w:tcW w:w="2537" w:type="dxa"/>
            <w:gridSpan w:val="3"/>
            <w:tcBorders>
              <w:top w:val="single" w:color="auto" w:sz="4" w:space="0"/>
              <w:left w:val="single" w:color="auto" w:sz="4" w:space="0"/>
              <w:bottom w:val="single" w:color="auto" w:sz="4" w:space="0"/>
              <w:right w:val="single" w:color="auto" w:sz="4" w:space="0"/>
            </w:tcBorders>
            <w:vAlign w:val="center"/>
          </w:tcPr>
          <w:p w14:paraId="68A41CF3">
            <w:pPr>
              <w:widowControl/>
              <w:spacing w:line="276" w:lineRule="auto"/>
              <w:jc w:val="center"/>
              <w:rPr>
                <w:rFonts w:ascii="宋体" w:hAnsi="宋体" w:eastAsia="宋体" w:cs="宋体"/>
                <w:bCs/>
                <w:kern w:val="0"/>
                <w:sz w:val="20"/>
                <w:szCs w:val="20"/>
              </w:rPr>
            </w:pPr>
            <w:r>
              <w:rPr>
                <w:rFonts w:hint="eastAsia" w:ascii="宋体" w:hAnsi="宋体" w:eastAsia="宋体" w:cs="宋体"/>
                <w:bCs/>
                <w:kern w:val="0"/>
                <w:sz w:val="20"/>
                <w:szCs w:val="20"/>
              </w:rPr>
              <w:t>报价（含税率</w:t>
            </w:r>
            <w:r>
              <w:rPr>
                <w:rFonts w:hint="eastAsia" w:ascii="宋体" w:hAnsi="宋体" w:eastAsia="宋体" w:cs="宋体"/>
                <w:bCs/>
                <w:kern w:val="0"/>
                <w:sz w:val="20"/>
                <w:szCs w:val="20"/>
                <w:u w:val="single"/>
              </w:rPr>
              <w:t xml:space="preserve">  </w:t>
            </w:r>
            <w:r>
              <w:rPr>
                <w:rFonts w:hint="eastAsia" w:ascii="宋体" w:hAnsi="宋体" w:eastAsia="宋体" w:cs="宋体"/>
                <w:bCs/>
                <w:kern w:val="0"/>
                <w:sz w:val="20"/>
                <w:szCs w:val="20"/>
              </w:rPr>
              <w:t>%）</w:t>
            </w:r>
          </w:p>
        </w:tc>
        <w:tc>
          <w:tcPr>
            <w:tcW w:w="1114" w:type="dxa"/>
            <w:vMerge w:val="restart"/>
            <w:tcBorders>
              <w:top w:val="single" w:color="000000" w:sz="4" w:space="0"/>
              <w:left w:val="single" w:color="auto" w:sz="4" w:space="0"/>
              <w:right w:val="single" w:color="000000" w:sz="4" w:space="0"/>
            </w:tcBorders>
            <w:vAlign w:val="center"/>
          </w:tcPr>
          <w:p w14:paraId="505A6849">
            <w:pPr>
              <w:widowControl/>
              <w:spacing w:line="276" w:lineRule="auto"/>
              <w:jc w:val="center"/>
              <w:textAlignment w:val="center"/>
              <w:rPr>
                <w:rFonts w:ascii="宋体" w:hAnsi="宋体" w:eastAsia="宋体" w:cs="宋体"/>
                <w:b/>
                <w:szCs w:val="21"/>
              </w:rPr>
            </w:pPr>
            <w:r>
              <w:rPr>
                <w:rFonts w:hint="eastAsia" w:ascii="宋体" w:hAnsi="宋体" w:eastAsia="宋体" w:cs="宋体"/>
                <w:b/>
                <w:kern w:val="0"/>
                <w:szCs w:val="21"/>
              </w:rPr>
              <w:t>备注</w:t>
            </w:r>
          </w:p>
        </w:tc>
      </w:tr>
      <w:tr w14:paraId="611D3F36">
        <w:tblPrEx>
          <w:tblCellMar>
            <w:top w:w="15" w:type="dxa"/>
            <w:left w:w="15" w:type="dxa"/>
            <w:bottom w:w="15" w:type="dxa"/>
            <w:right w:w="15" w:type="dxa"/>
          </w:tblCellMar>
        </w:tblPrEx>
        <w:trPr>
          <w:trHeight w:val="328" w:hRule="atLeast"/>
        </w:trPr>
        <w:tc>
          <w:tcPr>
            <w:tcW w:w="582" w:type="dxa"/>
            <w:vMerge w:val="continue"/>
            <w:tcBorders>
              <w:left w:val="single" w:color="000000" w:sz="4" w:space="0"/>
              <w:right w:val="single" w:color="000000" w:sz="4" w:space="0"/>
            </w:tcBorders>
            <w:vAlign w:val="center"/>
          </w:tcPr>
          <w:p w14:paraId="526DB3F7">
            <w:pPr>
              <w:widowControl/>
              <w:spacing w:line="276" w:lineRule="auto"/>
              <w:jc w:val="center"/>
              <w:textAlignment w:val="center"/>
              <w:rPr>
                <w:rFonts w:ascii="宋体" w:hAnsi="宋体" w:eastAsia="宋体" w:cs="宋体"/>
                <w:kern w:val="0"/>
                <w:szCs w:val="21"/>
              </w:rPr>
            </w:pPr>
          </w:p>
        </w:tc>
        <w:tc>
          <w:tcPr>
            <w:tcW w:w="1757" w:type="dxa"/>
            <w:vMerge w:val="continue"/>
            <w:tcBorders>
              <w:left w:val="single" w:color="000000" w:sz="4" w:space="0"/>
              <w:right w:val="single" w:color="000000" w:sz="4" w:space="0"/>
            </w:tcBorders>
            <w:vAlign w:val="center"/>
          </w:tcPr>
          <w:p w14:paraId="3EC5DFF9">
            <w:pPr>
              <w:widowControl/>
              <w:spacing w:line="276" w:lineRule="auto"/>
              <w:jc w:val="center"/>
              <w:textAlignment w:val="center"/>
              <w:rPr>
                <w:rFonts w:ascii="宋体" w:hAnsi="宋体" w:eastAsia="宋体" w:cs="宋体"/>
                <w:szCs w:val="21"/>
              </w:rPr>
            </w:pPr>
          </w:p>
        </w:tc>
        <w:tc>
          <w:tcPr>
            <w:tcW w:w="1410" w:type="dxa"/>
            <w:vMerge w:val="continue"/>
            <w:tcBorders>
              <w:left w:val="single" w:color="000000" w:sz="4" w:space="0"/>
              <w:right w:val="single" w:color="000000" w:sz="4" w:space="0"/>
            </w:tcBorders>
            <w:vAlign w:val="center"/>
          </w:tcPr>
          <w:p w14:paraId="344460A3">
            <w:pPr>
              <w:spacing w:line="276" w:lineRule="auto"/>
              <w:jc w:val="center"/>
              <w:rPr>
                <w:rFonts w:ascii="宋体" w:hAnsi="宋体" w:eastAsia="宋体" w:cs="宋体"/>
                <w:szCs w:val="21"/>
              </w:rPr>
            </w:pPr>
          </w:p>
        </w:tc>
        <w:tc>
          <w:tcPr>
            <w:tcW w:w="959" w:type="dxa"/>
            <w:vMerge w:val="continue"/>
            <w:tcBorders>
              <w:left w:val="single" w:color="000000" w:sz="4" w:space="0"/>
              <w:right w:val="single" w:color="auto" w:sz="4" w:space="0"/>
            </w:tcBorders>
            <w:vAlign w:val="center"/>
          </w:tcPr>
          <w:p w14:paraId="3E017E8C">
            <w:pPr>
              <w:widowControl/>
              <w:spacing w:line="276" w:lineRule="auto"/>
              <w:jc w:val="center"/>
              <w:textAlignment w:val="center"/>
              <w:rPr>
                <w:rFonts w:ascii="宋体" w:hAnsi="宋体" w:eastAsia="宋体" w:cs="宋体"/>
                <w:szCs w:val="21"/>
              </w:rPr>
            </w:pPr>
          </w:p>
        </w:tc>
        <w:tc>
          <w:tcPr>
            <w:tcW w:w="2537" w:type="dxa"/>
            <w:gridSpan w:val="3"/>
            <w:tcBorders>
              <w:top w:val="single" w:color="auto" w:sz="4" w:space="0"/>
              <w:left w:val="single" w:color="auto" w:sz="4" w:space="0"/>
              <w:bottom w:val="single" w:color="auto" w:sz="4" w:space="0"/>
              <w:right w:val="single" w:color="auto" w:sz="4" w:space="0"/>
            </w:tcBorders>
            <w:vAlign w:val="center"/>
          </w:tcPr>
          <w:p w14:paraId="495A9FBA">
            <w:pPr>
              <w:widowControl/>
              <w:spacing w:line="276" w:lineRule="auto"/>
              <w:jc w:val="center"/>
              <w:rPr>
                <w:rFonts w:ascii="宋体" w:hAnsi="宋体" w:eastAsia="宋体" w:cs="宋体"/>
                <w:bCs/>
                <w:kern w:val="0"/>
                <w:sz w:val="20"/>
                <w:szCs w:val="20"/>
              </w:rPr>
            </w:pPr>
            <w:r>
              <w:rPr>
                <w:rFonts w:hint="eastAsia" w:ascii="宋体" w:hAnsi="宋体" w:eastAsia="宋体" w:cs="宋体"/>
                <w:bCs/>
                <w:kern w:val="0"/>
                <w:sz w:val="20"/>
                <w:szCs w:val="20"/>
              </w:rPr>
              <w:t>√专票 □普票</w:t>
            </w:r>
          </w:p>
        </w:tc>
        <w:tc>
          <w:tcPr>
            <w:tcW w:w="1114" w:type="dxa"/>
            <w:vMerge w:val="continue"/>
            <w:tcBorders>
              <w:left w:val="single" w:color="auto" w:sz="4" w:space="0"/>
              <w:right w:val="single" w:color="000000" w:sz="4" w:space="0"/>
            </w:tcBorders>
            <w:vAlign w:val="center"/>
          </w:tcPr>
          <w:p w14:paraId="6E32E1A2">
            <w:pPr>
              <w:spacing w:line="276" w:lineRule="auto"/>
              <w:jc w:val="center"/>
              <w:rPr>
                <w:rFonts w:ascii="宋体" w:hAnsi="宋体" w:eastAsia="宋体" w:cs="宋体"/>
                <w:szCs w:val="21"/>
              </w:rPr>
            </w:pPr>
          </w:p>
        </w:tc>
      </w:tr>
      <w:tr w14:paraId="3CAF8637">
        <w:tblPrEx>
          <w:tblCellMar>
            <w:top w:w="15" w:type="dxa"/>
            <w:left w:w="15" w:type="dxa"/>
            <w:bottom w:w="15" w:type="dxa"/>
            <w:right w:w="15" w:type="dxa"/>
          </w:tblCellMar>
        </w:tblPrEx>
        <w:trPr>
          <w:trHeight w:val="328" w:hRule="atLeast"/>
        </w:trPr>
        <w:tc>
          <w:tcPr>
            <w:tcW w:w="582" w:type="dxa"/>
            <w:vMerge w:val="continue"/>
            <w:tcBorders>
              <w:left w:val="single" w:color="000000" w:sz="4" w:space="0"/>
              <w:bottom w:val="single" w:color="000000" w:sz="4" w:space="0"/>
              <w:right w:val="single" w:color="000000" w:sz="4" w:space="0"/>
            </w:tcBorders>
            <w:vAlign w:val="center"/>
          </w:tcPr>
          <w:p w14:paraId="59A1A54A">
            <w:pPr>
              <w:widowControl/>
              <w:spacing w:line="276" w:lineRule="auto"/>
              <w:jc w:val="center"/>
              <w:textAlignment w:val="center"/>
              <w:rPr>
                <w:rFonts w:ascii="宋体" w:hAnsi="宋体" w:eastAsia="宋体" w:cs="宋体"/>
                <w:szCs w:val="21"/>
              </w:rPr>
            </w:pPr>
          </w:p>
        </w:tc>
        <w:tc>
          <w:tcPr>
            <w:tcW w:w="1757" w:type="dxa"/>
            <w:vMerge w:val="continue"/>
            <w:tcBorders>
              <w:left w:val="single" w:color="000000" w:sz="4" w:space="0"/>
              <w:bottom w:val="single" w:color="000000" w:sz="4" w:space="0"/>
              <w:right w:val="single" w:color="000000" w:sz="4" w:space="0"/>
            </w:tcBorders>
            <w:vAlign w:val="center"/>
          </w:tcPr>
          <w:p w14:paraId="52D14F50">
            <w:pPr>
              <w:widowControl/>
              <w:spacing w:line="276" w:lineRule="auto"/>
              <w:jc w:val="center"/>
              <w:textAlignment w:val="center"/>
              <w:rPr>
                <w:rFonts w:ascii="宋体" w:hAnsi="宋体" w:eastAsia="宋体" w:cs="宋体"/>
                <w:szCs w:val="21"/>
              </w:rPr>
            </w:pPr>
          </w:p>
        </w:tc>
        <w:tc>
          <w:tcPr>
            <w:tcW w:w="1410" w:type="dxa"/>
            <w:vMerge w:val="continue"/>
            <w:tcBorders>
              <w:left w:val="single" w:color="000000" w:sz="4" w:space="0"/>
              <w:bottom w:val="single" w:color="000000" w:sz="4" w:space="0"/>
              <w:right w:val="single" w:color="000000" w:sz="4" w:space="0"/>
            </w:tcBorders>
            <w:vAlign w:val="center"/>
          </w:tcPr>
          <w:p w14:paraId="5EC04A4F">
            <w:pPr>
              <w:spacing w:line="276" w:lineRule="auto"/>
              <w:jc w:val="center"/>
              <w:rPr>
                <w:rFonts w:ascii="宋体" w:hAnsi="宋体" w:eastAsia="宋体" w:cs="宋体"/>
                <w:szCs w:val="21"/>
              </w:rPr>
            </w:pPr>
          </w:p>
        </w:tc>
        <w:tc>
          <w:tcPr>
            <w:tcW w:w="959" w:type="dxa"/>
            <w:vMerge w:val="continue"/>
            <w:tcBorders>
              <w:left w:val="single" w:color="000000" w:sz="4" w:space="0"/>
              <w:bottom w:val="single" w:color="000000" w:sz="4" w:space="0"/>
              <w:right w:val="single" w:color="auto" w:sz="4" w:space="0"/>
            </w:tcBorders>
            <w:vAlign w:val="center"/>
          </w:tcPr>
          <w:p w14:paraId="79F638B5">
            <w:pPr>
              <w:widowControl/>
              <w:spacing w:line="276" w:lineRule="auto"/>
              <w:jc w:val="center"/>
              <w:textAlignment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2541D46">
            <w:pPr>
              <w:widowControl/>
              <w:spacing w:line="276" w:lineRule="auto"/>
              <w:jc w:val="center"/>
              <w:rPr>
                <w:rFonts w:ascii="宋体" w:hAnsi="宋体" w:eastAsia="宋体" w:cs="宋体"/>
                <w:bCs/>
                <w:kern w:val="0"/>
                <w:sz w:val="20"/>
                <w:szCs w:val="20"/>
              </w:rPr>
            </w:pPr>
            <w:r>
              <w:rPr>
                <w:rFonts w:hint="eastAsia" w:ascii="宋体" w:hAnsi="宋体" w:eastAsia="宋体" w:cs="宋体"/>
                <w:bCs/>
                <w:kern w:val="0"/>
                <w:sz w:val="20"/>
                <w:szCs w:val="20"/>
              </w:rPr>
              <w:t>净价</w:t>
            </w:r>
          </w:p>
        </w:tc>
        <w:tc>
          <w:tcPr>
            <w:tcW w:w="780" w:type="dxa"/>
            <w:tcBorders>
              <w:top w:val="single" w:color="auto" w:sz="4" w:space="0"/>
              <w:left w:val="single" w:color="auto" w:sz="4" w:space="0"/>
              <w:bottom w:val="single" w:color="auto" w:sz="4" w:space="0"/>
              <w:right w:val="single" w:color="auto" w:sz="4" w:space="0"/>
            </w:tcBorders>
            <w:vAlign w:val="center"/>
          </w:tcPr>
          <w:p w14:paraId="6BC9210C">
            <w:pPr>
              <w:widowControl/>
              <w:spacing w:line="276" w:lineRule="auto"/>
              <w:jc w:val="center"/>
              <w:rPr>
                <w:rFonts w:ascii="宋体" w:hAnsi="宋体" w:eastAsia="宋体" w:cs="宋体"/>
                <w:bCs/>
                <w:kern w:val="0"/>
                <w:sz w:val="20"/>
                <w:szCs w:val="20"/>
              </w:rPr>
            </w:pPr>
            <w:r>
              <w:rPr>
                <w:rFonts w:hint="eastAsia" w:ascii="宋体" w:hAnsi="宋体" w:eastAsia="宋体" w:cs="宋体"/>
                <w:bCs/>
                <w:kern w:val="0"/>
                <w:sz w:val="20"/>
                <w:szCs w:val="20"/>
              </w:rPr>
              <w:t>税额</w:t>
            </w:r>
          </w:p>
        </w:tc>
        <w:tc>
          <w:tcPr>
            <w:tcW w:w="1037" w:type="dxa"/>
            <w:tcBorders>
              <w:top w:val="single" w:color="auto" w:sz="4" w:space="0"/>
              <w:left w:val="single" w:color="auto" w:sz="4" w:space="0"/>
              <w:bottom w:val="single" w:color="auto" w:sz="4" w:space="0"/>
              <w:right w:val="single" w:color="auto" w:sz="4" w:space="0"/>
            </w:tcBorders>
            <w:vAlign w:val="center"/>
          </w:tcPr>
          <w:p w14:paraId="1293B419">
            <w:pPr>
              <w:widowControl/>
              <w:spacing w:line="276" w:lineRule="auto"/>
              <w:jc w:val="center"/>
              <w:rPr>
                <w:rFonts w:ascii="宋体" w:hAnsi="宋体" w:eastAsia="宋体" w:cs="宋体"/>
                <w:bCs/>
                <w:kern w:val="0"/>
                <w:sz w:val="20"/>
                <w:szCs w:val="20"/>
              </w:rPr>
            </w:pPr>
            <w:r>
              <w:rPr>
                <w:rFonts w:hint="eastAsia" w:ascii="宋体" w:hAnsi="宋体" w:eastAsia="宋体" w:cs="宋体"/>
                <w:bCs/>
                <w:kern w:val="0"/>
                <w:sz w:val="20"/>
                <w:szCs w:val="20"/>
              </w:rPr>
              <w:t>含税价</w:t>
            </w:r>
          </w:p>
        </w:tc>
        <w:tc>
          <w:tcPr>
            <w:tcW w:w="1114" w:type="dxa"/>
            <w:vMerge w:val="continue"/>
            <w:tcBorders>
              <w:left w:val="single" w:color="auto" w:sz="4" w:space="0"/>
              <w:bottom w:val="single" w:color="000000" w:sz="4" w:space="0"/>
              <w:right w:val="single" w:color="000000" w:sz="4" w:space="0"/>
            </w:tcBorders>
            <w:vAlign w:val="center"/>
          </w:tcPr>
          <w:p w14:paraId="736D9426">
            <w:pPr>
              <w:spacing w:line="276" w:lineRule="auto"/>
              <w:jc w:val="center"/>
              <w:rPr>
                <w:rFonts w:ascii="宋体" w:hAnsi="宋体" w:eastAsia="宋体" w:cs="宋体"/>
                <w:szCs w:val="21"/>
              </w:rPr>
            </w:pPr>
          </w:p>
        </w:tc>
      </w:tr>
      <w:tr w14:paraId="6FCB467D">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740BC065">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1</w:t>
            </w:r>
          </w:p>
        </w:tc>
        <w:tc>
          <w:tcPr>
            <w:tcW w:w="1757" w:type="dxa"/>
            <w:tcBorders>
              <w:top w:val="single" w:color="000000" w:sz="4" w:space="0"/>
              <w:bottom w:val="single" w:color="000000" w:sz="4" w:space="0"/>
              <w:right w:val="single" w:color="000000" w:sz="4" w:space="0"/>
            </w:tcBorders>
            <w:vAlign w:val="center"/>
          </w:tcPr>
          <w:p w14:paraId="4A408A1F">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483B51D0">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61692C6A">
            <w:pPr>
              <w:spacing w:line="276" w:lineRule="auto"/>
              <w:jc w:val="center"/>
              <w:rPr>
                <w:rFonts w:ascii="Calibri" w:hAnsi="Calibri" w:eastAsia="宋体" w:cs="Times New Roman"/>
              </w:rPr>
            </w:pPr>
          </w:p>
        </w:tc>
        <w:tc>
          <w:tcPr>
            <w:tcW w:w="720" w:type="dxa"/>
            <w:tcBorders>
              <w:top w:val="single" w:color="auto" w:sz="4" w:space="0"/>
              <w:left w:val="single" w:color="000000" w:sz="4" w:space="0"/>
              <w:bottom w:val="single" w:color="000000" w:sz="4" w:space="0"/>
              <w:right w:val="single" w:color="auto" w:sz="4" w:space="0"/>
            </w:tcBorders>
            <w:vAlign w:val="center"/>
          </w:tcPr>
          <w:p w14:paraId="63996F93">
            <w:pPr>
              <w:widowControl/>
              <w:spacing w:line="276" w:lineRule="auto"/>
              <w:jc w:val="center"/>
              <w:textAlignment w:val="center"/>
              <w:rPr>
                <w:rFonts w:ascii="宋体" w:hAnsi="宋体" w:eastAsia="宋体" w:cs="宋体"/>
                <w:szCs w:val="21"/>
              </w:rPr>
            </w:pPr>
          </w:p>
        </w:tc>
        <w:tc>
          <w:tcPr>
            <w:tcW w:w="780" w:type="dxa"/>
            <w:tcBorders>
              <w:top w:val="single" w:color="auto" w:sz="4" w:space="0"/>
              <w:left w:val="single" w:color="auto" w:sz="4" w:space="0"/>
              <w:bottom w:val="single" w:color="000000" w:sz="4" w:space="0"/>
              <w:right w:val="single" w:color="auto" w:sz="4" w:space="0"/>
            </w:tcBorders>
            <w:vAlign w:val="center"/>
          </w:tcPr>
          <w:p w14:paraId="73560CB4">
            <w:pPr>
              <w:widowControl/>
              <w:spacing w:line="276" w:lineRule="auto"/>
              <w:jc w:val="center"/>
              <w:textAlignment w:val="center"/>
              <w:rPr>
                <w:rFonts w:ascii="宋体" w:hAnsi="宋体" w:eastAsia="宋体" w:cs="宋体"/>
                <w:szCs w:val="21"/>
              </w:rPr>
            </w:pPr>
          </w:p>
        </w:tc>
        <w:tc>
          <w:tcPr>
            <w:tcW w:w="1037" w:type="dxa"/>
            <w:tcBorders>
              <w:top w:val="single" w:color="auto" w:sz="4" w:space="0"/>
              <w:left w:val="single" w:color="auto" w:sz="4" w:space="0"/>
              <w:bottom w:val="single" w:color="000000" w:sz="4" w:space="0"/>
              <w:right w:val="single" w:color="000000" w:sz="4" w:space="0"/>
            </w:tcBorders>
            <w:vAlign w:val="center"/>
          </w:tcPr>
          <w:p w14:paraId="76B5CFF4">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22BA2A25">
            <w:pPr>
              <w:spacing w:line="276" w:lineRule="auto"/>
              <w:jc w:val="center"/>
              <w:rPr>
                <w:rFonts w:ascii="宋体" w:hAnsi="宋体" w:eastAsia="宋体" w:cs="宋体"/>
                <w:szCs w:val="21"/>
              </w:rPr>
            </w:pPr>
          </w:p>
        </w:tc>
      </w:tr>
      <w:tr w14:paraId="181CEC55">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1785951C">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2</w:t>
            </w:r>
          </w:p>
        </w:tc>
        <w:tc>
          <w:tcPr>
            <w:tcW w:w="1757" w:type="dxa"/>
            <w:tcBorders>
              <w:top w:val="single" w:color="000000" w:sz="4" w:space="0"/>
              <w:bottom w:val="single" w:color="000000" w:sz="4" w:space="0"/>
              <w:right w:val="single" w:color="000000" w:sz="4" w:space="0"/>
            </w:tcBorders>
            <w:vAlign w:val="center"/>
          </w:tcPr>
          <w:p w14:paraId="33228B65">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37934BA9">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5E085D77">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034EE5C1">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68FB2807">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2322B705">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16574991">
            <w:pPr>
              <w:spacing w:line="276" w:lineRule="auto"/>
              <w:jc w:val="center"/>
              <w:rPr>
                <w:rFonts w:ascii="宋体" w:hAnsi="宋体" w:eastAsia="宋体" w:cs="宋体"/>
                <w:szCs w:val="21"/>
              </w:rPr>
            </w:pPr>
          </w:p>
        </w:tc>
      </w:tr>
      <w:tr w14:paraId="2027A9A0">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09FE9439">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3</w:t>
            </w:r>
          </w:p>
        </w:tc>
        <w:tc>
          <w:tcPr>
            <w:tcW w:w="1757" w:type="dxa"/>
            <w:tcBorders>
              <w:top w:val="single" w:color="000000" w:sz="4" w:space="0"/>
              <w:bottom w:val="single" w:color="000000" w:sz="4" w:space="0"/>
              <w:right w:val="single" w:color="000000" w:sz="4" w:space="0"/>
            </w:tcBorders>
            <w:vAlign w:val="center"/>
          </w:tcPr>
          <w:p w14:paraId="1B7DEB41">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027D6A76">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6951D343">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39E7D936">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0E6A5716">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5D1B61AF">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043A2044">
            <w:pPr>
              <w:spacing w:line="276" w:lineRule="auto"/>
              <w:jc w:val="center"/>
              <w:rPr>
                <w:rFonts w:ascii="宋体" w:hAnsi="宋体" w:eastAsia="宋体" w:cs="宋体"/>
                <w:szCs w:val="21"/>
              </w:rPr>
            </w:pPr>
          </w:p>
        </w:tc>
      </w:tr>
      <w:tr w14:paraId="61B61449">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10F6EF9A">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4</w:t>
            </w:r>
          </w:p>
        </w:tc>
        <w:tc>
          <w:tcPr>
            <w:tcW w:w="1757" w:type="dxa"/>
            <w:tcBorders>
              <w:top w:val="single" w:color="000000" w:sz="4" w:space="0"/>
              <w:bottom w:val="single" w:color="000000" w:sz="4" w:space="0"/>
              <w:right w:val="single" w:color="000000" w:sz="4" w:space="0"/>
            </w:tcBorders>
            <w:vAlign w:val="center"/>
          </w:tcPr>
          <w:p w14:paraId="5B31A84D">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00E04506">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7EC03E89">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7F540EC6">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03ED5A00">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261B698F">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56C95F1E">
            <w:pPr>
              <w:spacing w:line="276" w:lineRule="auto"/>
              <w:jc w:val="center"/>
              <w:rPr>
                <w:rFonts w:ascii="宋体" w:hAnsi="宋体" w:eastAsia="宋体" w:cs="宋体"/>
                <w:szCs w:val="21"/>
              </w:rPr>
            </w:pPr>
          </w:p>
        </w:tc>
      </w:tr>
      <w:tr w14:paraId="688F01B4">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688098D8">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5</w:t>
            </w:r>
          </w:p>
        </w:tc>
        <w:tc>
          <w:tcPr>
            <w:tcW w:w="1757" w:type="dxa"/>
            <w:tcBorders>
              <w:top w:val="single" w:color="000000" w:sz="4" w:space="0"/>
              <w:bottom w:val="single" w:color="000000" w:sz="4" w:space="0"/>
              <w:right w:val="single" w:color="000000" w:sz="4" w:space="0"/>
            </w:tcBorders>
            <w:vAlign w:val="center"/>
          </w:tcPr>
          <w:p w14:paraId="5E2582BD">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1736614D">
            <w:pPr>
              <w:widowControl/>
              <w:spacing w:line="276" w:lineRule="auto"/>
              <w:jc w:val="center"/>
              <w:textAlignment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62522FA8">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2544D248">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1C14D483">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4A23E4B7">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131C6C1B">
            <w:pPr>
              <w:spacing w:line="276" w:lineRule="auto"/>
              <w:jc w:val="center"/>
              <w:rPr>
                <w:rFonts w:ascii="宋体" w:hAnsi="宋体" w:eastAsia="宋体" w:cs="宋体"/>
                <w:szCs w:val="21"/>
              </w:rPr>
            </w:pPr>
          </w:p>
        </w:tc>
      </w:tr>
      <w:tr w14:paraId="04483D74">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76344501">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6</w:t>
            </w:r>
          </w:p>
        </w:tc>
        <w:tc>
          <w:tcPr>
            <w:tcW w:w="1757" w:type="dxa"/>
            <w:tcBorders>
              <w:top w:val="single" w:color="000000" w:sz="4" w:space="0"/>
              <w:bottom w:val="single" w:color="000000" w:sz="4" w:space="0"/>
              <w:right w:val="single" w:color="000000" w:sz="4" w:space="0"/>
            </w:tcBorders>
            <w:vAlign w:val="center"/>
          </w:tcPr>
          <w:p w14:paraId="14F94419">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00621FFF">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30FD3657">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136F1905">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3DFFA9EB">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54F82C82">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0384616C">
            <w:pPr>
              <w:spacing w:line="276" w:lineRule="auto"/>
              <w:jc w:val="center"/>
              <w:rPr>
                <w:rFonts w:ascii="宋体" w:hAnsi="宋体" w:eastAsia="宋体" w:cs="宋体"/>
                <w:szCs w:val="21"/>
              </w:rPr>
            </w:pPr>
          </w:p>
        </w:tc>
      </w:tr>
      <w:tr w14:paraId="3792D6BE">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3AA26D64">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7</w:t>
            </w:r>
          </w:p>
        </w:tc>
        <w:tc>
          <w:tcPr>
            <w:tcW w:w="1757" w:type="dxa"/>
            <w:tcBorders>
              <w:top w:val="single" w:color="000000" w:sz="4" w:space="0"/>
              <w:bottom w:val="single" w:color="000000" w:sz="4" w:space="0"/>
              <w:right w:val="single" w:color="000000" w:sz="4" w:space="0"/>
            </w:tcBorders>
            <w:vAlign w:val="center"/>
          </w:tcPr>
          <w:p w14:paraId="2240EA9D">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50FDE202">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758798DC">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6FDC8A03">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7F971CE9">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608AC939">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4172CAF9">
            <w:pPr>
              <w:spacing w:line="276" w:lineRule="auto"/>
              <w:jc w:val="center"/>
              <w:rPr>
                <w:rFonts w:ascii="宋体" w:hAnsi="宋体" w:eastAsia="宋体" w:cs="宋体"/>
                <w:szCs w:val="21"/>
              </w:rPr>
            </w:pPr>
          </w:p>
        </w:tc>
      </w:tr>
      <w:tr w14:paraId="6DF972A2">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67DBBE2F">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8</w:t>
            </w:r>
          </w:p>
        </w:tc>
        <w:tc>
          <w:tcPr>
            <w:tcW w:w="1757" w:type="dxa"/>
            <w:tcBorders>
              <w:top w:val="single" w:color="000000" w:sz="4" w:space="0"/>
              <w:bottom w:val="single" w:color="000000" w:sz="4" w:space="0"/>
              <w:right w:val="single" w:color="000000" w:sz="4" w:space="0"/>
            </w:tcBorders>
            <w:vAlign w:val="center"/>
          </w:tcPr>
          <w:p w14:paraId="73BD39FB">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3CEAA595">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198E26A9">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306D1644">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4018DB12">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7D989743">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15079ADA">
            <w:pPr>
              <w:spacing w:line="276" w:lineRule="auto"/>
              <w:jc w:val="center"/>
              <w:rPr>
                <w:rFonts w:ascii="宋体" w:hAnsi="宋体" w:eastAsia="宋体" w:cs="宋体"/>
                <w:szCs w:val="21"/>
              </w:rPr>
            </w:pPr>
          </w:p>
        </w:tc>
      </w:tr>
      <w:tr w14:paraId="226B16DD">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090D3A18">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9</w:t>
            </w:r>
          </w:p>
        </w:tc>
        <w:tc>
          <w:tcPr>
            <w:tcW w:w="1757" w:type="dxa"/>
            <w:tcBorders>
              <w:top w:val="single" w:color="000000" w:sz="4" w:space="0"/>
              <w:bottom w:val="single" w:color="000000" w:sz="4" w:space="0"/>
              <w:right w:val="single" w:color="000000" w:sz="4" w:space="0"/>
            </w:tcBorders>
            <w:vAlign w:val="center"/>
          </w:tcPr>
          <w:p w14:paraId="13FA972C">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0727A9ED">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53FC8F56">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5CFEE178">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14AE6D7B">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1ED0827E">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13D33A2B">
            <w:pPr>
              <w:spacing w:line="276" w:lineRule="auto"/>
              <w:jc w:val="center"/>
              <w:rPr>
                <w:rFonts w:ascii="宋体" w:hAnsi="宋体" w:eastAsia="宋体" w:cs="宋体"/>
                <w:szCs w:val="21"/>
              </w:rPr>
            </w:pPr>
          </w:p>
        </w:tc>
      </w:tr>
      <w:tr w14:paraId="38CB24AF">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5A6A0605">
            <w:pPr>
              <w:widowControl/>
              <w:spacing w:line="276" w:lineRule="auto"/>
              <w:jc w:val="center"/>
              <w:textAlignment w:val="center"/>
              <w:rPr>
                <w:rFonts w:ascii="宋体" w:hAnsi="宋体" w:eastAsia="宋体" w:cs="宋体"/>
                <w:szCs w:val="21"/>
              </w:rPr>
            </w:pPr>
            <w:r>
              <w:rPr>
                <w:rFonts w:hint="eastAsia" w:ascii="宋体" w:hAnsi="宋体" w:eastAsia="宋体" w:cs="宋体"/>
                <w:kern w:val="0"/>
                <w:szCs w:val="21"/>
              </w:rPr>
              <w:t>10</w:t>
            </w:r>
          </w:p>
        </w:tc>
        <w:tc>
          <w:tcPr>
            <w:tcW w:w="1757" w:type="dxa"/>
            <w:tcBorders>
              <w:top w:val="single" w:color="000000" w:sz="4" w:space="0"/>
              <w:bottom w:val="single" w:color="000000" w:sz="4" w:space="0"/>
              <w:right w:val="single" w:color="000000" w:sz="4" w:space="0"/>
            </w:tcBorders>
            <w:vAlign w:val="center"/>
          </w:tcPr>
          <w:p w14:paraId="7717D0E9">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0966B4BB">
            <w:pPr>
              <w:spacing w:line="276" w:lineRule="auto"/>
              <w:jc w:val="center"/>
              <w:rPr>
                <w:rFonts w:ascii="宋体" w:hAnsi="宋体" w:eastAsia="宋体" w:cs="宋体"/>
                <w:szCs w:val="21"/>
              </w:rPr>
            </w:pPr>
          </w:p>
        </w:tc>
        <w:tc>
          <w:tcPr>
            <w:tcW w:w="959" w:type="dxa"/>
            <w:tcBorders>
              <w:top w:val="single" w:color="000000" w:sz="4" w:space="0"/>
              <w:left w:val="single" w:color="000000" w:sz="4" w:space="0"/>
              <w:bottom w:val="single" w:color="000000" w:sz="4" w:space="0"/>
              <w:right w:val="single" w:color="000000" w:sz="4" w:space="0"/>
            </w:tcBorders>
          </w:tcPr>
          <w:p w14:paraId="49F6F171">
            <w:pPr>
              <w:spacing w:line="276" w:lineRule="auto"/>
              <w:jc w:val="center"/>
              <w:rPr>
                <w:rFonts w:ascii="Calibri" w:hAnsi="Calibri" w:eastAsia="宋体" w:cs="Times New Roman"/>
              </w:rPr>
            </w:pPr>
          </w:p>
        </w:tc>
        <w:tc>
          <w:tcPr>
            <w:tcW w:w="720" w:type="dxa"/>
            <w:tcBorders>
              <w:top w:val="single" w:color="000000" w:sz="4" w:space="0"/>
              <w:left w:val="single" w:color="000000" w:sz="4" w:space="0"/>
              <w:bottom w:val="single" w:color="000000" w:sz="4" w:space="0"/>
              <w:right w:val="single" w:color="auto" w:sz="4" w:space="0"/>
            </w:tcBorders>
            <w:vAlign w:val="center"/>
          </w:tcPr>
          <w:p w14:paraId="04CCF9B3">
            <w:pPr>
              <w:widowControl/>
              <w:spacing w:line="276" w:lineRule="auto"/>
              <w:jc w:val="center"/>
              <w:textAlignment w:val="center"/>
              <w:rPr>
                <w:rFonts w:ascii="宋体" w:hAnsi="宋体" w:eastAsia="宋体" w:cs="宋体"/>
                <w:szCs w:val="21"/>
              </w:rPr>
            </w:pPr>
          </w:p>
        </w:tc>
        <w:tc>
          <w:tcPr>
            <w:tcW w:w="780" w:type="dxa"/>
            <w:tcBorders>
              <w:top w:val="single" w:color="000000" w:sz="4" w:space="0"/>
              <w:left w:val="single" w:color="auto" w:sz="4" w:space="0"/>
              <w:bottom w:val="single" w:color="000000" w:sz="4" w:space="0"/>
              <w:right w:val="single" w:color="auto" w:sz="4" w:space="0"/>
            </w:tcBorders>
            <w:vAlign w:val="center"/>
          </w:tcPr>
          <w:p w14:paraId="6BD4D35E">
            <w:pPr>
              <w:widowControl/>
              <w:spacing w:line="276" w:lineRule="auto"/>
              <w:jc w:val="center"/>
              <w:textAlignment w:val="center"/>
              <w:rPr>
                <w:rFonts w:ascii="宋体" w:hAnsi="宋体" w:eastAsia="宋体" w:cs="宋体"/>
                <w:szCs w:val="21"/>
              </w:rPr>
            </w:pPr>
          </w:p>
        </w:tc>
        <w:tc>
          <w:tcPr>
            <w:tcW w:w="1037" w:type="dxa"/>
            <w:tcBorders>
              <w:top w:val="single" w:color="000000" w:sz="4" w:space="0"/>
              <w:left w:val="single" w:color="auto" w:sz="4" w:space="0"/>
              <w:bottom w:val="single" w:color="000000" w:sz="4" w:space="0"/>
              <w:right w:val="single" w:color="000000" w:sz="4" w:space="0"/>
            </w:tcBorders>
            <w:vAlign w:val="center"/>
          </w:tcPr>
          <w:p w14:paraId="073A3DF8">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000000" w:sz="4" w:space="0"/>
              <w:bottom w:val="single" w:color="000000" w:sz="4" w:space="0"/>
              <w:right w:val="single" w:color="000000" w:sz="4" w:space="0"/>
            </w:tcBorders>
            <w:vAlign w:val="center"/>
          </w:tcPr>
          <w:p w14:paraId="69951B9A">
            <w:pPr>
              <w:spacing w:line="276" w:lineRule="auto"/>
              <w:jc w:val="center"/>
              <w:rPr>
                <w:rFonts w:ascii="宋体" w:hAnsi="宋体" w:eastAsia="宋体" w:cs="宋体"/>
                <w:szCs w:val="21"/>
              </w:rPr>
            </w:pPr>
          </w:p>
        </w:tc>
      </w:tr>
      <w:tr w14:paraId="70255740">
        <w:tblPrEx>
          <w:tblCellMar>
            <w:top w:w="15" w:type="dxa"/>
            <w:left w:w="15" w:type="dxa"/>
            <w:bottom w:w="15" w:type="dxa"/>
            <w:right w:w="15" w:type="dxa"/>
          </w:tblCellMar>
        </w:tblPrEx>
        <w:trPr>
          <w:trHeight w:val="328" w:hRule="atLeast"/>
        </w:trPr>
        <w:tc>
          <w:tcPr>
            <w:tcW w:w="582" w:type="dxa"/>
            <w:tcBorders>
              <w:top w:val="single" w:color="000000" w:sz="4" w:space="0"/>
              <w:left w:val="single" w:color="000000" w:sz="4" w:space="0"/>
              <w:bottom w:val="single" w:color="000000" w:sz="4" w:space="0"/>
              <w:right w:val="single" w:color="000000" w:sz="4" w:space="0"/>
            </w:tcBorders>
            <w:vAlign w:val="center"/>
          </w:tcPr>
          <w:p w14:paraId="622D9F30">
            <w:pPr>
              <w:widowControl/>
              <w:spacing w:line="276" w:lineRule="auto"/>
              <w:jc w:val="center"/>
              <w:textAlignment w:val="center"/>
              <w:rPr>
                <w:rFonts w:ascii="宋体" w:hAnsi="宋体" w:eastAsia="宋体" w:cs="宋体"/>
                <w:szCs w:val="21"/>
              </w:rPr>
            </w:pPr>
            <w:r>
              <w:rPr>
                <w:rFonts w:hint="eastAsia" w:ascii="宋体" w:hAnsi="宋体" w:eastAsia="宋体" w:cs="宋体"/>
                <w:szCs w:val="21"/>
              </w:rPr>
              <w:t>……</w:t>
            </w:r>
          </w:p>
        </w:tc>
        <w:tc>
          <w:tcPr>
            <w:tcW w:w="1757" w:type="dxa"/>
            <w:tcBorders>
              <w:top w:val="single" w:color="000000" w:sz="4" w:space="0"/>
              <w:bottom w:val="single" w:color="000000" w:sz="4" w:space="0"/>
              <w:right w:val="single" w:color="000000" w:sz="4" w:space="0"/>
            </w:tcBorders>
            <w:vAlign w:val="center"/>
          </w:tcPr>
          <w:p w14:paraId="441E2D61">
            <w:pPr>
              <w:widowControl/>
              <w:spacing w:line="276" w:lineRule="auto"/>
              <w:jc w:val="center"/>
              <w:textAlignment w:val="center"/>
              <w:rPr>
                <w:rFonts w:ascii="宋体" w:hAnsi="宋体" w:eastAsia="宋体" w:cs="宋体"/>
                <w:szCs w:val="21"/>
              </w:rPr>
            </w:pPr>
          </w:p>
        </w:tc>
        <w:tc>
          <w:tcPr>
            <w:tcW w:w="1410" w:type="dxa"/>
            <w:tcBorders>
              <w:top w:val="single" w:color="000000" w:sz="4" w:space="0"/>
              <w:left w:val="single" w:color="000000" w:sz="4" w:space="0"/>
              <w:bottom w:val="single" w:color="000000" w:sz="4" w:space="0"/>
              <w:right w:val="single" w:color="000000" w:sz="4" w:space="0"/>
            </w:tcBorders>
            <w:vAlign w:val="center"/>
          </w:tcPr>
          <w:p w14:paraId="39DAC776">
            <w:pPr>
              <w:spacing w:line="276" w:lineRule="auto"/>
              <w:jc w:val="center"/>
              <w:rPr>
                <w:rFonts w:ascii="宋体" w:hAnsi="宋体" w:eastAsia="宋体" w:cs="Arial"/>
                <w:szCs w:val="21"/>
              </w:rPr>
            </w:pPr>
          </w:p>
        </w:tc>
        <w:tc>
          <w:tcPr>
            <w:tcW w:w="959" w:type="dxa"/>
            <w:tcBorders>
              <w:top w:val="single" w:color="000000" w:sz="4" w:space="0"/>
              <w:left w:val="single" w:color="000000" w:sz="4" w:space="0"/>
              <w:bottom w:val="single" w:color="000000" w:sz="4" w:space="0"/>
              <w:right w:val="single" w:color="auto" w:sz="4" w:space="0"/>
            </w:tcBorders>
          </w:tcPr>
          <w:p w14:paraId="28CC09CC">
            <w:pPr>
              <w:spacing w:line="276" w:lineRule="auto"/>
              <w:jc w:val="center"/>
              <w:rPr>
                <w:rFonts w:ascii="Calibri" w:hAnsi="Calibri" w:eastAsia="宋体" w:cs="Times New Roman"/>
              </w:rPr>
            </w:pPr>
          </w:p>
        </w:tc>
        <w:tc>
          <w:tcPr>
            <w:tcW w:w="720" w:type="dxa"/>
            <w:tcBorders>
              <w:top w:val="single" w:color="auto" w:sz="4" w:space="0"/>
              <w:left w:val="single" w:color="auto" w:sz="4" w:space="0"/>
              <w:bottom w:val="single" w:color="auto" w:sz="4" w:space="0"/>
              <w:right w:val="single" w:color="auto" w:sz="4" w:space="0"/>
            </w:tcBorders>
            <w:vAlign w:val="center"/>
          </w:tcPr>
          <w:p w14:paraId="04A63DE7">
            <w:pPr>
              <w:widowControl/>
              <w:spacing w:line="276" w:lineRule="auto"/>
              <w:jc w:val="center"/>
              <w:textAlignment w:val="center"/>
              <w:rPr>
                <w:rFonts w:ascii="宋体" w:hAnsi="宋体" w:eastAsia="宋体" w:cs="宋体"/>
                <w:szCs w:val="21"/>
              </w:rPr>
            </w:pPr>
          </w:p>
        </w:tc>
        <w:tc>
          <w:tcPr>
            <w:tcW w:w="780" w:type="dxa"/>
            <w:tcBorders>
              <w:top w:val="single" w:color="auto" w:sz="4" w:space="0"/>
              <w:left w:val="single" w:color="auto" w:sz="4" w:space="0"/>
              <w:bottom w:val="single" w:color="auto" w:sz="4" w:space="0"/>
              <w:right w:val="single" w:color="auto" w:sz="4" w:space="0"/>
            </w:tcBorders>
            <w:vAlign w:val="center"/>
          </w:tcPr>
          <w:p w14:paraId="7310A348">
            <w:pPr>
              <w:widowControl/>
              <w:spacing w:line="276" w:lineRule="auto"/>
              <w:jc w:val="center"/>
              <w:textAlignment w:val="center"/>
              <w:rPr>
                <w:rFonts w:ascii="宋体" w:hAnsi="宋体" w:eastAsia="宋体" w:cs="宋体"/>
                <w:szCs w:val="21"/>
              </w:rPr>
            </w:pPr>
          </w:p>
        </w:tc>
        <w:tc>
          <w:tcPr>
            <w:tcW w:w="1037" w:type="dxa"/>
            <w:tcBorders>
              <w:top w:val="single" w:color="auto" w:sz="4" w:space="0"/>
              <w:left w:val="single" w:color="auto" w:sz="4" w:space="0"/>
              <w:bottom w:val="single" w:color="auto" w:sz="4" w:space="0"/>
              <w:right w:val="single" w:color="auto" w:sz="4" w:space="0"/>
            </w:tcBorders>
            <w:vAlign w:val="center"/>
          </w:tcPr>
          <w:p w14:paraId="40BF989A">
            <w:pPr>
              <w:widowControl/>
              <w:spacing w:line="276" w:lineRule="auto"/>
              <w:jc w:val="center"/>
              <w:textAlignment w:val="center"/>
              <w:rPr>
                <w:rFonts w:ascii="宋体" w:hAnsi="宋体" w:eastAsia="宋体" w:cs="宋体"/>
                <w:szCs w:val="21"/>
              </w:rPr>
            </w:pPr>
          </w:p>
        </w:tc>
        <w:tc>
          <w:tcPr>
            <w:tcW w:w="1114" w:type="dxa"/>
            <w:tcBorders>
              <w:top w:val="single" w:color="000000" w:sz="4" w:space="0"/>
              <w:left w:val="single" w:color="auto" w:sz="4" w:space="0"/>
              <w:bottom w:val="single" w:color="000000" w:sz="4" w:space="0"/>
              <w:right w:val="single" w:color="000000" w:sz="4" w:space="0"/>
            </w:tcBorders>
            <w:vAlign w:val="center"/>
          </w:tcPr>
          <w:p w14:paraId="24C1117B">
            <w:pPr>
              <w:spacing w:line="276" w:lineRule="auto"/>
              <w:jc w:val="center"/>
              <w:rPr>
                <w:rFonts w:ascii="宋体" w:hAnsi="宋体" w:eastAsia="宋体" w:cs="Arial"/>
                <w:szCs w:val="21"/>
              </w:rPr>
            </w:pPr>
          </w:p>
        </w:tc>
      </w:tr>
    </w:tbl>
    <w:p w14:paraId="71DA41D5">
      <w:pPr>
        <w:widowControl/>
        <w:spacing w:line="276" w:lineRule="auto"/>
        <w:jc w:val="left"/>
        <w:rPr>
          <w:rFonts w:ascii="宋体" w:hAnsi="宋体" w:eastAsia="宋体" w:cs="宋体"/>
          <w:b/>
          <w:kern w:val="0"/>
          <w:sz w:val="24"/>
        </w:rPr>
      </w:pPr>
      <w:r>
        <w:rPr>
          <w:rFonts w:hint="eastAsia" w:ascii="宋体" w:hAnsi="宋体" w:eastAsia="宋体" w:cs="宋体"/>
          <w:b/>
          <w:kern w:val="0"/>
          <w:sz w:val="24"/>
        </w:rPr>
        <w:t>注：</w:t>
      </w:r>
      <w:r>
        <w:rPr>
          <w:rFonts w:hint="eastAsia" w:ascii="宋体" w:hAnsi="宋体" w:eastAsia="宋体" w:cs="宋体"/>
          <w:kern w:val="0"/>
          <w:sz w:val="24"/>
        </w:rPr>
        <w:t>以上报价包含发票类型、税率、净价、税额、含税价。</w:t>
      </w:r>
    </w:p>
    <w:p w14:paraId="75593173">
      <w:pPr>
        <w:widowControl/>
        <w:spacing w:line="276" w:lineRule="auto"/>
        <w:jc w:val="left"/>
        <w:rPr>
          <w:rFonts w:ascii="楷体_GB2312" w:hAnsi="宋体" w:eastAsia="楷体_GB2312" w:cs="Times New Roman"/>
          <w:b/>
          <w:bCs/>
        </w:rPr>
      </w:pPr>
      <w:r>
        <w:rPr>
          <w:rFonts w:ascii="宋体" w:hAnsi="宋体" w:eastAsia="宋体" w:cs="宋体"/>
          <w:b/>
          <w:kern w:val="0"/>
          <w:sz w:val="24"/>
        </w:rPr>
        <w:br w:type="page"/>
      </w:r>
      <w:bookmarkStart w:id="0" w:name="_Hlk69890525"/>
      <w:r>
        <w:rPr>
          <w:rFonts w:hint="eastAsia" w:ascii="Calibri" w:hAnsi="Calibri" w:eastAsia="宋体" w:cs="Times New Roman"/>
          <w:b/>
          <w:bCs/>
        </w:rPr>
        <w:t>合同附件二</w:t>
      </w:r>
      <w:bookmarkEnd w:id="0"/>
      <w:r>
        <w:rPr>
          <w:rFonts w:hint="eastAsia" w:ascii="Calibri" w:hAnsi="Calibri" w:eastAsia="宋体" w:cs="Times New Roman"/>
          <w:b/>
          <w:bCs/>
        </w:rPr>
        <w:t>：</w:t>
      </w:r>
    </w:p>
    <w:p w14:paraId="57B250EC">
      <w:pPr>
        <w:widowControl/>
        <w:spacing w:line="276" w:lineRule="auto"/>
        <w:jc w:val="center"/>
        <w:rPr>
          <w:rFonts w:ascii="宋体" w:hAnsi="宋体" w:eastAsia="宋体" w:cs="Times New Roman"/>
          <w:b/>
          <w:bCs/>
          <w:kern w:val="0"/>
          <w:sz w:val="36"/>
        </w:rPr>
      </w:pPr>
      <w:r>
        <w:rPr>
          <w:rFonts w:hint="eastAsia" w:ascii="宋体" w:hAnsi="宋体" w:eastAsia="宋体" w:cs="Times New Roman"/>
          <w:b/>
          <w:bCs/>
          <w:kern w:val="0"/>
          <w:sz w:val="36"/>
        </w:rPr>
        <w:t>食品卫生安全责任书</w:t>
      </w:r>
    </w:p>
    <w:p w14:paraId="116C62FA">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甲方：                                              （以下简称甲方）</w:t>
      </w:r>
    </w:p>
    <w:p w14:paraId="40D01E05">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乙方：                                              （以下简称乙方）</w:t>
      </w:r>
    </w:p>
    <w:p w14:paraId="3489342B">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根据《中华人民共和国食品安全法》、《中华人民共和食品安全法实施条例》和政府、餐饮行业主管部门食品药品监督管理局要求、落实食品安全工作责任制，强化食品安全工作的监督力度，做到责任到人，防患于未然，结合酒店实际情况，特制定本责任书。</w:t>
      </w:r>
    </w:p>
    <w:p w14:paraId="66D4ACE9">
      <w:pPr>
        <w:spacing w:line="276" w:lineRule="auto"/>
        <w:jc w:val="left"/>
        <w:rPr>
          <w:rFonts w:ascii="宋体" w:hAnsi="宋体" w:eastAsia="宋体" w:cs="宋体"/>
          <w:kern w:val="0"/>
          <w:szCs w:val="21"/>
        </w:rPr>
      </w:pPr>
      <w:r>
        <w:rPr>
          <w:rFonts w:hint="eastAsia" w:ascii="宋体" w:hAnsi="宋体" w:eastAsia="宋体" w:cs="宋体"/>
          <w:kern w:val="0"/>
          <w:szCs w:val="21"/>
        </w:rPr>
        <w:t>一、责任主体</w:t>
      </w:r>
    </w:p>
    <w:p w14:paraId="40F5E32E">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配送食品安全工作实行负责制：乙方供应商的法定代表人为食品卫生安全工作第一责任人。</w:t>
      </w:r>
    </w:p>
    <w:p w14:paraId="7B8CA096">
      <w:pPr>
        <w:spacing w:line="276" w:lineRule="auto"/>
        <w:jc w:val="left"/>
        <w:rPr>
          <w:rFonts w:ascii="宋体" w:hAnsi="宋体" w:eastAsia="宋体" w:cs="宋体"/>
          <w:kern w:val="0"/>
          <w:szCs w:val="21"/>
        </w:rPr>
      </w:pPr>
      <w:r>
        <w:rPr>
          <w:rFonts w:hint="eastAsia" w:ascii="宋体" w:hAnsi="宋体" w:eastAsia="宋体" w:cs="宋体"/>
          <w:kern w:val="0"/>
          <w:szCs w:val="21"/>
        </w:rPr>
        <w:t>二、供应商要求</w:t>
      </w:r>
    </w:p>
    <w:p w14:paraId="66522755">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1、凡是酒店供货的供应商必须签订供货合同，提供合法有效的营业执照、卫生许可证、食品生产许可证、食品原材料的《质检报告》的复印件并加盖公章等。</w:t>
      </w:r>
    </w:p>
    <w:p w14:paraId="54BA5864">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2、供应商每次供货须根据由酒店确定的产品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中华人民共和国产品质量法》、《中华人民共和国食品安全法》、《</w:t>
      </w:r>
      <w:r>
        <w:fldChar w:fldCharType="begin"/>
      </w:r>
      <w:r>
        <w:instrText xml:space="preserve"> HYPERLINK "https://law.wkinfo.com.cn/document/show?collection=legislation&amp;aid=MTAwMDAwNzI4Mjk=&amp;language=%E4%B8%AD%E6%96%87" \t "https://law.wkinfo.com.cn/legislation/detail/_blank" </w:instrText>
      </w:r>
      <w:r>
        <w:fldChar w:fldCharType="separate"/>
      </w:r>
      <w:r>
        <w:rPr>
          <w:rFonts w:hint="eastAsia" w:ascii="宋体" w:hAnsi="宋体" w:eastAsia="宋体" w:cs="宋体"/>
          <w:kern w:val="0"/>
          <w:szCs w:val="21"/>
        </w:rPr>
        <w:t>中华人民共和国食品安全法实施条例</w:t>
      </w:r>
      <w:r>
        <w:rPr>
          <w:rFonts w:hint="eastAsia" w:ascii="宋体" w:hAnsi="宋体" w:eastAsia="宋体" w:cs="宋体"/>
          <w:kern w:val="0"/>
          <w:szCs w:val="21"/>
        </w:rPr>
        <w:fldChar w:fldCharType="end"/>
      </w:r>
      <w:r>
        <w:rPr>
          <w:rFonts w:hint="eastAsia" w:ascii="宋体" w:hAnsi="宋体" w:eastAsia="宋体" w:cs="宋体"/>
          <w:kern w:val="0"/>
          <w:szCs w:val="21"/>
        </w:rPr>
        <w:t>》、</w:t>
      </w:r>
      <w:r>
        <w:fldChar w:fldCharType="begin"/>
      </w:r>
      <w:r>
        <w:instrText xml:space="preserve"> HYPERLINK "https://law.wkinfo.com.cn/document/show?collection=legislation&amp;showType=0&amp;language=%E4%B8%AD%E6%96%87&amp;aid=MTAwMDAxMTMxMDE=" \t "https://law.wkinfo.com.cn/legislation/detail/_blank" </w:instrText>
      </w:r>
      <w:r>
        <w:fldChar w:fldCharType="separate"/>
      </w:r>
      <w:r>
        <w:rPr>
          <w:rFonts w:hint="eastAsia" w:ascii="宋体" w:hAnsi="宋体" w:eastAsia="宋体" w:cs="宋体"/>
          <w:kern w:val="0"/>
        </w:rPr>
        <w:t>《食品生产加工企业质量安全监督管理实施细则</w:t>
      </w:r>
      <w:r>
        <w:rPr>
          <w:rFonts w:ascii="宋体" w:hAnsi="宋体" w:eastAsia="宋体" w:cs="宋体"/>
          <w:kern w:val="0"/>
        </w:rPr>
        <w:t>(试行)》</w:t>
      </w:r>
      <w:r>
        <w:rPr>
          <w:rFonts w:ascii="宋体" w:hAnsi="宋体" w:eastAsia="宋体" w:cs="宋体"/>
          <w:kern w:val="0"/>
        </w:rPr>
        <w:fldChar w:fldCharType="end"/>
      </w:r>
      <w:r>
        <w:rPr>
          <w:rFonts w:hint="eastAsia" w:ascii="宋体" w:hAnsi="宋体" w:eastAsia="宋体" w:cs="宋体"/>
          <w:kern w:val="0"/>
          <w:szCs w:val="21"/>
        </w:rPr>
        <w:t>、</w:t>
      </w:r>
      <w:r>
        <w:fldChar w:fldCharType="begin"/>
      </w:r>
      <w:r>
        <w:instrText xml:space="preserve"> HYPERLINK "https://law.wkinfo.com.cn/document/show?collection=legislation&amp;showType=0&amp;language=%E4%B8%AD%E6%96%87&amp;aid=MTAwMDI4NzE5MjU=" \t "https://law.wkinfo.com.cn/legislation/detail/_blank" </w:instrText>
      </w:r>
      <w:r>
        <w:fldChar w:fldCharType="separate"/>
      </w:r>
      <w:r>
        <w:rPr>
          <w:rFonts w:hint="eastAsia" w:ascii="宋体" w:hAnsi="宋体" w:eastAsia="宋体" w:cs="宋体"/>
          <w:kern w:val="0"/>
        </w:rPr>
        <w:t>《餐饮服务食品安全监督管理办法》</w:t>
      </w:r>
      <w:r>
        <w:rPr>
          <w:rFonts w:hint="eastAsia" w:ascii="宋体" w:hAnsi="宋体" w:eastAsia="宋体" w:cs="宋体"/>
          <w:kern w:val="0"/>
        </w:rPr>
        <w:fldChar w:fldCharType="end"/>
      </w:r>
      <w:r>
        <w:rPr>
          <w:rFonts w:hint="eastAsia" w:ascii="宋体" w:hAnsi="宋体" w:eastAsia="宋体" w:cs="宋体"/>
          <w:kern w:val="0"/>
          <w:szCs w:val="21"/>
        </w:rPr>
        <w:t>等相关法律、法规的规定，保证食品原材料质量安全符合国家有关产品质量标准。</w:t>
      </w:r>
    </w:p>
    <w:p w14:paraId="618047C0">
      <w:pPr>
        <w:spacing w:line="276" w:lineRule="auto"/>
        <w:jc w:val="left"/>
        <w:rPr>
          <w:rFonts w:ascii="宋体" w:hAnsi="宋体" w:eastAsia="宋体" w:cs="宋体"/>
          <w:kern w:val="0"/>
          <w:szCs w:val="21"/>
        </w:rPr>
      </w:pPr>
      <w:r>
        <w:rPr>
          <w:rFonts w:hint="eastAsia" w:ascii="宋体" w:hAnsi="宋体" w:eastAsia="宋体" w:cs="宋体"/>
          <w:kern w:val="0"/>
          <w:szCs w:val="21"/>
        </w:rPr>
        <w:t>三、责任追究</w:t>
      </w:r>
    </w:p>
    <w:p w14:paraId="0C21B5A5">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1、凡供货商违反本责任书第二条规定者酒店有权立即终止与供货商签订的供货合同，并有权根据双方签订的供货合同中的约定追究供货商的经济赔偿责任和违约责任。</w:t>
      </w:r>
    </w:p>
    <w:p w14:paraId="1E62928E">
      <w:pPr>
        <w:spacing w:line="276"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2、本责任书以《中华人民共和国产品质量法》、《中华人民共和国食品安全法》、《</w:t>
      </w:r>
      <w:r>
        <w:fldChar w:fldCharType="begin"/>
      </w:r>
      <w:r>
        <w:instrText xml:space="preserve"> HYPERLINK "https://law.wkinfo.com.cn/document/show?collection=legislation&amp;aid=MTAwMDAwNzI4Mjk=&amp;language=%E4%B8%AD%E6%96%87" \t "https://law.wkinfo.com.cn/legislation/detail/_blank" </w:instrText>
      </w:r>
      <w:r>
        <w:fldChar w:fldCharType="separate"/>
      </w:r>
      <w:r>
        <w:rPr>
          <w:rFonts w:hint="eastAsia" w:ascii="宋体" w:hAnsi="宋体" w:eastAsia="宋体" w:cs="宋体"/>
          <w:kern w:val="0"/>
          <w:szCs w:val="21"/>
        </w:rPr>
        <w:t>中华人民共和国食品安全法实施条例</w:t>
      </w:r>
      <w:r>
        <w:rPr>
          <w:rFonts w:hint="eastAsia" w:ascii="宋体" w:hAnsi="宋体" w:eastAsia="宋体" w:cs="宋体"/>
          <w:kern w:val="0"/>
          <w:szCs w:val="21"/>
        </w:rPr>
        <w:fldChar w:fldCharType="end"/>
      </w:r>
      <w:r>
        <w:rPr>
          <w:rFonts w:hint="eastAsia" w:ascii="宋体" w:hAnsi="宋体" w:eastAsia="宋体" w:cs="宋体"/>
          <w:kern w:val="0"/>
          <w:szCs w:val="21"/>
        </w:rPr>
        <w:t>》、</w:t>
      </w:r>
      <w:r>
        <w:fldChar w:fldCharType="begin"/>
      </w:r>
      <w:r>
        <w:instrText xml:space="preserve"> HYPERLINK "https://law.wkinfo.com.cn/document/show?collection=legislation&amp;showType=0&amp;language=%E4%B8%AD%E6%96%87&amp;aid=MTAwMDAxMTMxMDE=" \t "https://law.wkinfo.com.cn/legislation/detail/_blank" </w:instrText>
      </w:r>
      <w:r>
        <w:fldChar w:fldCharType="separate"/>
      </w:r>
      <w:r>
        <w:rPr>
          <w:rFonts w:hint="eastAsia" w:ascii="宋体" w:hAnsi="宋体" w:eastAsia="宋体" w:cs="宋体"/>
          <w:kern w:val="0"/>
          <w:szCs w:val="21"/>
        </w:rPr>
        <w:t>《食品生产加工企业质量安全监督管理实施细则(试行)》</w:t>
      </w:r>
      <w:r>
        <w:rPr>
          <w:rFonts w:hint="eastAsia" w:ascii="宋体" w:hAnsi="宋体" w:eastAsia="宋体" w:cs="宋体"/>
          <w:kern w:val="0"/>
          <w:szCs w:val="21"/>
        </w:rPr>
        <w:fldChar w:fldCharType="end"/>
      </w:r>
      <w:r>
        <w:rPr>
          <w:rFonts w:hint="eastAsia" w:ascii="宋体" w:hAnsi="宋体" w:eastAsia="宋体" w:cs="宋体"/>
          <w:kern w:val="0"/>
          <w:szCs w:val="21"/>
        </w:rPr>
        <w:t>、</w:t>
      </w:r>
      <w:r>
        <w:fldChar w:fldCharType="begin"/>
      </w:r>
      <w:r>
        <w:instrText xml:space="preserve"> HYPERLINK "https://law.wkinfo.com.cn/document/show?collection=legislation&amp;showType=0&amp;language=%E4%B8%AD%E6%96%87&amp;aid=MTAwMDI4NzE5MjU=" \t "https://law.wkinfo.com.cn/legislation/detail/_blank" </w:instrText>
      </w:r>
      <w:r>
        <w:fldChar w:fldCharType="separate"/>
      </w:r>
      <w:r>
        <w:rPr>
          <w:rFonts w:hint="eastAsia" w:ascii="宋体" w:hAnsi="宋体" w:eastAsia="宋体" w:cs="宋体"/>
          <w:kern w:val="0"/>
          <w:szCs w:val="21"/>
        </w:rPr>
        <w:t>《餐饮服务食品安全监督管理办法》</w:t>
      </w:r>
      <w:r>
        <w:rPr>
          <w:rFonts w:hint="eastAsia" w:ascii="宋体" w:hAnsi="宋体" w:eastAsia="宋体" w:cs="宋体"/>
          <w:kern w:val="0"/>
          <w:szCs w:val="21"/>
        </w:rPr>
        <w:fldChar w:fldCharType="end"/>
      </w:r>
      <w:r>
        <w:rPr>
          <w:rFonts w:hint="eastAsia" w:ascii="宋体" w:hAnsi="宋体" w:eastAsia="宋体" w:cs="宋体"/>
          <w:kern w:val="0"/>
          <w:szCs w:val="21"/>
        </w:rPr>
        <w:t>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14:paraId="39700343">
      <w:pPr>
        <w:spacing w:line="276" w:lineRule="auto"/>
        <w:jc w:val="left"/>
        <w:rPr>
          <w:rFonts w:ascii="宋体" w:hAnsi="宋体" w:eastAsia="宋体" w:cs="宋体"/>
          <w:kern w:val="0"/>
          <w:szCs w:val="21"/>
        </w:rPr>
      </w:pPr>
      <w:r>
        <w:rPr>
          <w:rFonts w:hint="eastAsia" w:ascii="宋体" w:hAnsi="宋体" w:eastAsia="宋体" w:cs="宋体"/>
          <w:kern w:val="0"/>
          <w:szCs w:val="21"/>
        </w:rPr>
        <w:t>四、本责任书经甲乙双方签字并盖章后生效，做为本合同的有效附件。</w:t>
      </w:r>
    </w:p>
    <w:p w14:paraId="12D2FA97">
      <w:pPr>
        <w:spacing w:line="276" w:lineRule="auto"/>
        <w:jc w:val="left"/>
        <w:rPr>
          <w:rFonts w:ascii="宋体" w:hAnsi="宋体" w:eastAsia="宋体" w:cs="宋体"/>
          <w:kern w:val="0"/>
          <w:szCs w:val="21"/>
        </w:rPr>
      </w:pPr>
      <w:r>
        <w:rPr>
          <w:rFonts w:hint="eastAsia" w:ascii="宋体" w:hAnsi="宋体" w:eastAsia="宋体" w:cs="宋体"/>
          <w:kern w:val="0"/>
          <w:szCs w:val="21"/>
        </w:rPr>
        <w:t>五、此责任书壹式肆份，甲方执叁份，乙方执壹份，具有同等的法律效力。</w:t>
      </w:r>
    </w:p>
    <w:p w14:paraId="48813506">
      <w:pPr>
        <w:spacing w:line="276" w:lineRule="auto"/>
        <w:ind w:firstLine="283" w:firstLineChars="135"/>
        <w:jc w:val="left"/>
        <w:rPr>
          <w:rFonts w:ascii="宋体" w:hAnsi="宋体" w:eastAsia="宋体" w:cs="宋体"/>
          <w:kern w:val="0"/>
          <w:szCs w:val="21"/>
        </w:rPr>
      </w:pPr>
      <w:r>
        <w:rPr>
          <w:rFonts w:ascii="宋体" w:hAnsi="宋体" w:eastAsia="宋体" w:cs="宋体"/>
          <w:kern w:val="0"/>
          <w:szCs w:val="21"/>
        </w:rPr>
        <w:t>甲方（签字盖章）：      </w:t>
      </w:r>
      <w:r>
        <w:rPr>
          <w:rFonts w:hint="eastAsia" w:ascii="宋体" w:hAnsi="宋体" w:eastAsia="宋体" w:cs="宋体"/>
          <w:kern w:val="0"/>
          <w:szCs w:val="21"/>
        </w:rPr>
        <w:t xml:space="preserve">           </w:t>
      </w:r>
      <w:r>
        <w:rPr>
          <w:rFonts w:ascii="宋体" w:hAnsi="宋体" w:eastAsia="宋体" w:cs="宋体"/>
          <w:kern w:val="0"/>
          <w:szCs w:val="21"/>
        </w:rPr>
        <w:t>   乙方（签字盖章）：</w:t>
      </w:r>
    </w:p>
    <w:p w14:paraId="1AF25183">
      <w:pPr>
        <w:spacing w:line="276" w:lineRule="auto"/>
        <w:ind w:firstLine="283" w:firstLineChars="135"/>
        <w:jc w:val="left"/>
        <w:rPr>
          <w:rFonts w:ascii="宋体" w:hAnsi="宋体" w:eastAsia="宋体" w:cs="宋体"/>
          <w:kern w:val="0"/>
          <w:szCs w:val="21"/>
        </w:rPr>
      </w:pPr>
      <w:r>
        <w:rPr>
          <w:rFonts w:hint="eastAsia" w:ascii="宋体" w:hAnsi="宋体" w:eastAsia="宋体" w:cs="Times New Roman"/>
        </w:rPr>
        <w:t>法定代表人（或委托授权人）签字</w:t>
      </w:r>
      <w:r>
        <w:rPr>
          <w:rFonts w:ascii="宋体" w:hAnsi="宋体" w:eastAsia="宋体" w:cs="宋体"/>
          <w:kern w:val="0"/>
          <w:szCs w:val="21"/>
        </w:rPr>
        <w:t>： </w:t>
      </w:r>
      <w:r>
        <w:rPr>
          <w:rFonts w:hint="eastAsia" w:ascii="宋体" w:hAnsi="宋体" w:eastAsia="宋体" w:cs="宋体"/>
          <w:kern w:val="0"/>
          <w:szCs w:val="21"/>
        </w:rPr>
        <w:t xml:space="preserve">    </w:t>
      </w:r>
      <w:r>
        <w:rPr>
          <w:rFonts w:ascii="宋体" w:hAnsi="宋体" w:eastAsia="宋体" w:cs="宋体"/>
          <w:kern w:val="0"/>
          <w:szCs w:val="21"/>
        </w:rPr>
        <w:t> </w:t>
      </w:r>
      <w:r>
        <w:rPr>
          <w:rFonts w:hint="eastAsia" w:ascii="宋体" w:hAnsi="宋体" w:eastAsia="宋体" w:cs="Times New Roman"/>
        </w:rPr>
        <w:t>法定代表人（或委托授权人）签字</w:t>
      </w:r>
      <w:r>
        <w:rPr>
          <w:rFonts w:ascii="宋体" w:hAnsi="宋体" w:eastAsia="宋体" w:cs="宋体"/>
          <w:kern w:val="0"/>
          <w:szCs w:val="21"/>
        </w:rPr>
        <w:t>：</w:t>
      </w:r>
    </w:p>
    <w:p w14:paraId="00628CCE">
      <w:pPr>
        <w:spacing w:line="276" w:lineRule="auto"/>
        <w:ind w:firstLine="283" w:firstLineChars="135"/>
        <w:jc w:val="left"/>
        <w:rPr>
          <w:rFonts w:ascii="宋体" w:hAnsi="宋体" w:eastAsia="宋体" w:cs="宋体"/>
          <w:kern w:val="0"/>
          <w:szCs w:val="21"/>
        </w:rPr>
      </w:pPr>
      <w:r>
        <w:rPr>
          <w:rFonts w:hint="eastAsia" w:ascii="宋体" w:hAnsi="宋体" w:eastAsia="宋体" w:cs="宋体"/>
          <w:kern w:val="0"/>
          <w:szCs w:val="21"/>
        </w:rPr>
        <w:t>签约日期：    年   月   日</w:t>
      </w:r>
    </w:p>
    <w:p w14:paraId="74C3CCE0">
      <w:pPr>
        <w:spacing w:line="276" w:lineRule="auto"/>
        <w:ind w:firstLine="283" w:firstLineChars="135"/>
        <w:jc w:val="left"/>
        <w:rPr>
          <w:rFonts w:ascii="宋体" w:hAnsi="宋体" w:eastAsia="宋体" w:cs="宋体"/>
          <w:kern w:val="0"/>
          <w:szCs w:val="21"/>
        </w:rPr>
      </w:pPr>
    </w:p>
    <w:p w14:paraId="51A7305D">
      <w:pPr>
        <w:spacing w:line="276" w:lineRule="auto"/>
        <w:ind w:firstLine="324" w:firstLineChars="135"/>
        <w:jc w:val="left"/>
        <w:rPr>
          <w:rFonts w:ascii="宋体" w:hAnsi="宋体" w:eastAsia="宋体" w:cs="宋体"/>
          <w:kern w:val="0"/>
          <w:sz w:val="24"/>
        </w:rPr>
      </w:pPr>
    </w:p>
    <w:p w14:paraId="1CA00687">
      <w:pPr>
        <w:spacing w:line="276" w:lineRule="auto"/>
        <w:ind w:firstLine="324" w:firstLineChars="135"/>
        <w:jc w:val="left"/>
        <w:rPr>
          <w:rFonts w:ascii="宋体" w:hAnsi="宋体" w:eastAsia="宋体" w:cs="宋体"/>
          <w:kern w:val="0"/>
          <w:sz w:val="24"/>
        </w:rPr>
      </w:pPr>
    </w:p>
    <w:p w14:paraId="6C32B349">
      <w:pPr>
        <w:spacing w:line="276" w:lineRule="auto"/>
        <w:ind w:firstLine="324" w:firstLineChars="135"/>
        <w:jc w:val="left"/>
        <w:rPr>
          <w:rFonts w:ascii="宋体" w:hAnsi="宋体" w:eastAsia="宋体" w:cs="宋体"/>
          <w:kern w:val="0"/>
          <w:sz w:val="24"/>
        </w:rPr>
      </w:pPr>
    </w:p>
    <w:p w14:paraId="71668431">
      <w:pPr>
        <w:spacing w:line="276" w:lineRule="auto"/>
        <w:jc w:val="left"/>
        <w:rPr>
          <w:rFonts w:ascii="宋体" w:hAnsi="宋体" w:eastAsia="宋体" w:cs="Times New Roman"/>
          <w:b/>
          <w:spacing w:val="20"/>
          <w:sz w:val="24"/>
        </w:rPr>
      </w:pPr>
      <w:r>
        <w:rPr>
          <w:rFonts w:hint="eastAsia" w:ascii="宋体" w:hAnsi="宋体" w:eastAsia="宋体" w:cs="Times New Roman"/>
          <w:b/>
          <w:spacing w:val="20"/>
          <w:sz w:val="22"/>
        </w:rPr>
        <w:t>合同附件三</w:t>
      </w:r>
      <w:r>
        <w:rPr>
          <w:rFonts w:hint="eastAsia" w:ascii="宋体" w:hAnsi="宋体" w:eastAsia="宋体" w:cs="Times New Roman"/>
          <w:b/>
          <w:spacing w:val="20"/>
          <w:sz w:val="24"/>
        </w:rPr>
        <w:t>：</w:t>
      </w:r>
    </w:p>
    <w:p w14:paraId="7ACB59A3">
      <w:pPr>
        <w:spacing w:line="276" w:lineRule="auto"/>
        <w:jc w:val="center"/>
        <w:rPr>
          <w:rFonts w:ascii="宋体" w:hAnsi="宋体" w:eastAsia="宋体" w:cs="Times New Roman"/>
          <w:b/>
          <w:spacing w:val="20"/>
          <w:sz w:val="24"/>
        </w:rPr>
      </w:pPr>
      <w:r>
        <w:rPr>
          <w:rFonts w:hint="eastAsia" w:ascii="宋体" w:hAnsi="宋体" w:eastAsia="宋体" w:cs="Times New Roman"/>
          <w:b/>
          <w:spacing w:val="20"/>
          <w:sz w:val="24"/>
        </w:rPr>
        <w:t>廉政合同</w:t>
      </w:r>
    </w:p>
    <w:p w14:paraId="15175BCC">
      <w:pPr>
        <w:spacing w:line="276" w:lineRule="auto"/>
        <w:ind w:firstLine="539" w:firstLineChars="257"/>
        <w:rPr>
          <w:rFonts w:ascii="宋体" w:hAnsi="宋体" w:eastAsia="宋体" w:cs="Times New Roman"/>
        </w:rPr>
      </w:pPr>
      <w:r>
        <w:rPr>
          <w:rFonts w:ascii="宋体" w:hAnsi="宋体" w:eastAsia="宋体" w:cs="Times New Roman"/>
        </w:rPr>
        <w:t>为抓好采购供应中的党风廉政建设，规范、约束双方行为，确保双方工作人员廉洁从业，特订立如下合同。</w:t>
      </w:r>
    </w:p>
    <w:p w14:paraId="75EB6920">
      <w:pPr>
        <w:spacing w:line="276" w:lineRule="auto"/>
        <w:ind w:firstLine="539" w:firstLineChars="257"/>
        <w:rPr>
          <w:rFonts w:ascii="宋体" w:hAnsi="宋体" w:eastAsia="宋体" w:cs="Times New Roman"/>
        </w:rPr>
      </w:pPr>
      <w:r>
        <w:rPr>
          <w:rFonts w:ascii="宋体" w:hAnsi="宋体" w:eastAsia="宋体" w:cs="Times New Roman"/>
        </w:rPr>
        <w:t>1.甲乙双方的权利和义务</w:t>
      </w:r>
    </w:p>
    <w:p w14:paraId="60DC2B10">
      <w:pPr>
        <w:spacing w:line="276" w:lineRule="auto"/>
        <w:ind w:firstLine="539" w:firstLineChars="257"/>
        <w:rPr>
          <w:rFonts w:ascii="宋体" w:hAnsi="宋体" w:eastAsia="宋体" w:cs="Times New Roman"/>
        </w:rPr>
      </w:pPr>
      <w:r>
        <w:rPr>
          <w:rFonts w:ascii="宋体" w:hAnsi="宋体" w:eastAsia="宋体" w:cs="Times New Roman"/>
        </w:rPr>
        <w:t>（1）严格遵守党的政策和国家有关法律法规的有关规定。</w:t>
      </w:r>
    </w:p>
    <w:p w14:paraId="13BEE994">
      <w:pPr>
        <w:spacing w:line="276" w:lineRule="auto"/>
        <w:ind w:firstLine="539" w:firstLineChars="257"/>
        <w:rPr>
          <w:rFonts w:ascii="宋体" w:hAnsi="宋体" w:eastAsia="宋体" w:cs="Times New Roman"/>
        </w:rPr>
      </w:pPr>
      <w:r>
        <w:rPr>
          <w:rFonts w:ascii="宋体" w:hAnsi="宋体" w:eastAsia="宋体" w:cs="Times New Roman"/>
        </w:rPr>
        <w:t>（2）严格执行          （合同文件名称）合同文件，自觉按合同办事。</w:t>
      </w:r>
    </w:p>
    <w:p w14:paraId="2FCC21D8">
      <w:pPr>
        <w:spacing w:line="276" w:lineRule="auto"/>
        <w:ind w:firstLine="539" w:firstLineChars="257"/>
        <w:rPr>
          <w:rFonts w:ascii="宋体" w:hAnsi="宋体" w:eastAsia="宋体" w:cs="Times New Roman"/>
        </w:rPr>
      </w:pPr>
      <w:r>
        <w:rPr>
          <w:rFonts w:ascii="宋体" w:hAnsi="宋体" w:eastAsia="宋体" w:cs="Times New Roman"/>
        </w:rPr>
        <w:t>（3）双方的业务活动坚持公开、公正、诚信、透明的原则（法律认定的商业秘密和合同文件另有规定除外），不得损害国家和集体利益。</w:t>
      </w:r>
    </w:p>
    <w:p w14:paraId="5D105968">
      <w:pPr>
        <w:spacing w:line="276" w:lineRule="auto"/>
        <w:ind w:firstLine="539" w:firstLineChars="257"/>
        <w:rPr>
          <w:rFonts w:ascii="宋体" w:hAnsi="宋体" w:eastAsia="宋体" w:cs="Times New Roman"/>
        </w:rPr>
      </w:pPr>
      <w:r>
        <w:rPr>
          <w:rFonts w:ascii="宋体" w:hAnsi="宋体" w:eastAsia="宋体" w:cs="Times New Roman"/>
        </w:rPr>
        <w:t>（4）建立健全廉政制度，开展廉政教育和廉洁文化建设，公布举报电话，监督并认真查处违规违纪违法行为。</w:t>
      </w:r>
    </w:p>
    <w:p w14:paraId="03FBB67D">
      <w:pPr>
        <w:spacing w:line="276" w:lineRule="auto"/>
        <w:ind w:firstLine="539" w:firstLineChars="257"/>
        <w:rPr>
          <w:rFonts w:ascii="宋体" w:hAnsi="宋体" w:eastAsia="宋体" w:cs="Times New Roman"/>
        </w:rPr>
      </w:pPr>
      <w:r>
        <w:rPr>
          <w:rFonts w:ascii="宋体" w:hAnsi="宋体" w:eastAsia="宋体" w:cs="Times New Roman"/>
        </w:rPr>
        <w:t>（5）发现对方在业务活动中有违反廉政规定的行为，有及时提醒对方纠正的权利和义务。</w:t>
      </w:r>
    </w:p>
    <w:p w14:paraId="53D2D807">
      <w:pPr>
        <w:spacing w:line="276" w:lineRule="auto"/>
        <w:ind w:firstLine="539" w:firstLineChars="257"/>
        <w:rPr>
          <w:rFonts w:ascii="宋体" w:hAnsi="宋体" w:eastAsia="宋体" w:cs="Times New Roman"/>
        </w:rPr>
      </w:pPr>
      <w:r>
        <w:rPr>
          <w:rFonts w:ascii="宋体" w:hAnsi="宋体" w:eastAsia="宋体" w:cs="Times New Roman"/>
        </w:rPr>
        <w:t>（6）发现对方严重违反本合同义务条款的行为，有向有关部门举报、建议给予处理并要求告知处理结果的权利。</w:t>
      </w:r>
    </w:p>
    <w:p w14:paraId="59375FF2">
      <w:pPr>
        <w:spacing w:line="276" w:lineRule="auto"/>
        <w:ind w:firstLine="539" w:firstLineChars="257"/>
        <w:rPr>
          <w:rFonts w:ascii="宋体" w:hAnsi="宋体" w:eastAsia="宋体" w:cs="Times New Roman"/>
        </w:rPr>
      </w:pPr>
      <w:r>
        <w:rPr>
          <w:rFonts w:ascii="宋体" w:hAnsi="宋体" w:eastAsia="宋体" w:cs="Times New Roman"/>
        </w:rPr>
        <w:t>2.甲方的义务</w:t>
      </w:r>
    </w:p>
    <w:p w14:paraId="02CE14D7">
      <w:pPr>
        <w:spacing w:line="276" w:lineRule="auto"/>
        <w:ind w:firstLine="539" w:firstLineChars="257"/>
        <w:rPr>
          <w:rFonts w:ascii="宋体" w:hAnsi="宋体" w:eastAsia="宋体" w:cs="Times New Roman"/>
        </w:rPr>
      </w:pPr>
      <w:r>
        <w:rPr>
          <w:rFonts w:ascii="宋体" w:hAnsi="宋体" w:eastAsia="宋体" w:cs="Times New Roman"/>
        </w:rPr>
        <w:t>（1）甲方及其工作人员不得利用职务之便索要或接受乙方的礼品、礼金、消费卡和有价证券、股权、其他金融产品等财物。</w:t>
      </w:r>
    </w:p>
    <w:p w14:paraId="041043B1">
      <w:pPr>
        <w:spacing w:line="276" w:lineRule="auto"/>
        <w:ind w:firstLine="539" w:firstLineChars="257"/>
        <w:rPr>
          <w:rFonts w:ascii="宋体" w:hAnsi="宋体" w:eastAsia="宋体" w:cs="Times New Roman"/>
        </w:rPr>
      </w:pPr>
      <w:r>
        <w:rPr>
          <w:rFonts w:ascii="宋体" w:hAnsi="宋体" w:eastAsia="宋体" w:cs="Times New Roman"/>
        </w:rPr>
        <w:t>（2）甲方及其工作人员不得在利用职务之便为乙方谋取利益之前或之后，约定在其离职后收受乙方财物，并在离职后收受。</w:t>
      </w:r>
    </w:p>
    <w:p w14:paraId="0C9375C3">
      <w:pPr>
        <w:spacing w:line="276" w:lineRule="auto"/>
        <w:ind w:firstLine="539" w:firstLineChars="257"/>
        <w:rPr>
          <w:rFonts w:ascii="宋体" w:hAnsi="宋体" w:eastAsia="宋体" w:cs="Times New Roman"/>
        </w:rPr>
      </w:pPr>
      <w:r>
        <w:rPr>
          <w:rFonts w:ascii="宋体" w:hAnsi="宋体" w:eastAsia="宋体" w:cs="Times New Roman"/>
        </w:rPr>
        <w:t>（3）甲方及其工作人员不得在乙方报销应由甲方或个人支付的费用等。</w:t>
      </w:r>
    </w:p>
    <w:p w14:paraId="1AD974A4">
      <w:pPr>
        <w:spacing w:line="276" w:lineRule="auto"/>
        <w:ind w:firstLine="539" w:firstLineChars="257"/>
        <w:rPr>
          <w:rFonts w:ascii="宋体" w:hAnsi="宋体" w:eastAsia="宋体" w:cs="Times New Roman"/>
        </w:rPr>
      </w:pPr>
      <w:r>
        <w:rPr>
          <w:rFonts w:ascii="宋体" w:hAnsi="宋体" w:eastAsia="宋体" w:cs="Times New Roman"/>
        </w:rPr>
        <w:t>（4）甲方及其工作人员不得要求或者接受乙方可能影响公正执行公务的宴请以及旅游、健身、娱乐等活动安排，不得要求和接受乙方提供的交通工具、通讯工具、高档办公用品等。</w:t>
      </w:r>
    </w:p>
    <w:p w14:paraId="5406FE6D">
      <w:pPr>
        <w:spacing w:line="276" w:lineRule="auto"/>
        <w:ind w:firstLine="539" w:firstLineChars="257"/>
        <w:rPr>
          <w:rFonts w:ascii="宋体" w:hAnsi="宋体" w:eastAsia="宋体" w:cs="Times New Roman"/>
        </w:rPr>
      </w:pPr>
      <w:r>
        <w:rPr>
          <w:rFonts w:ascii="宋体" w:hAnsi="宋体" w:eastAsia="宋体" w:cs="Times New Roman"/>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4331975A">
      <w:pPr>
        <w:spacing w:line="276" w:lineRule="auto"/>
        <w:ind w:firstLine="539" w:firstLineChars="257"/>
        <w:rPr>
          <w:rFonts w:ascii="宋体" w:hAnsi="宋体" w:eastAsia="宋体" w:cs="Times New Roman"/>
        </w:rPr>
      </w:pPr>
      <w:r>
        <w:rPr>
          <w:rFonts w:ascii="宋体" w:hAnsi="宋体" w:eastAsia="宋体" w:cs="Times New Roman"/>
        </w:rPr>
        <w:t xml:space="preserve">（6）甲方及其工作人员不得要求乙方购买合同规定外的材料和设备采购、服务等。    </w:t>
      </w:r>
    </w:p>
    <w:p w14:paraId="252BE0E0">
      <w:pPr>
        <w:spacing w:line="276" w:lineRule="auto"/>
        <w:ind w:firstLine="539" w:firstLineChars="257"/>
        <w:rPr>
          <w:rFonts w:ascii="宋体" w:hAnsi="宋体" w:eastAsia="宋体" w:cs="Times New Roman"/>
        </w:rPr>
      </w:pPr>
      <w:r>
        <w:rPr>
          <w:rFonts w:ascii="宋体" w:hAnsi="宋体" w:eastAsia="宋体" w:cs="Times New Roman"/>
        </w:rPr>
        <w:t>（7）甲方及其工作人员不得有其他可能影响廉洁从业的行为。</w:t>
      </w:r>
    </w:p>
    <w:p w14:paraId="06C0F1AA">
      <w:pPr>
        <w:spacing w:line="276" w:lineRule="auto"/>
        <w:ind w:firstLine="539" w:firstLineChars="257"/>
        <w:rPr>
          <w:rFonts w:ascii="宋体" w:hAnsi="宋体" w:eastAsia="宋体" w:cs="Times New Roman"/>
        </w:rPr>
      </w:pPr>
      <w:r>
        <w:rPr>
          <w:rFonts w:ascii="宋体" w:hAnsi="宋体" w:eastAsia="宋体" w:cs="Times New Roman"/>
        </w:rPr>
        <w:t>3.乙方义务</w:t>
      </w:r>
    </w:p>
    <w:p w14:paraId="2807FEF3">
      <w:pPr>
        <w:spacing w:line="276" w:lineRule="auto"/>
        <w:ind w:firstLine="539" w:firstLineChars="257"/>
        <w:rPr>
          <w:rFonts w:ascii="宋体" w:hAnsi="宋体" w:eastAsia="宋体" w:cs="Times New Roman"/>
        </w:rPr>
      </w:pPr>
      <w:r>
        <w:rPr>
          <w:rFonts w:ascii="宋体" w:hAnsi="宋体" w:eastAsia="宋体" w:cs="Times New Roman"/>
        </w:rPr>
        <w:t>（1）乙方及其工作人员不得以任何形式向甲方及其工作人员行贿或馈赠礼品、礼金、消费卡和有价证券、股权、其他金融产品等财物，以及回扣、好处费、感谢费等。</w:t>
      </w:r>
    </w:p>
    <w:p w14:paraId="4549FEDE">
      <w:pPr>
        <w:spacing w:line="276" w:lineRule="auto"/>
        <w:ind w:firstLine="539" w:firstLineChars="257"/>
        <w:rPr>
          <w:rFonts w:ascii="宋体" w:hAnsi="宋体" w:eastAsia="宋体" w:cs="Times New Roman"/>
        </w:rPr>
      </w:pPr>
      <w:r>
        <w:rPr>
          <w:rFonts w:ascii="宋体" w:hAnsi="宋体" w:eastAsia="宋体" w:cs="Times New Roman"/>
        </w:rPr>
        <w:t>（2）乙方及其工作人员不得与甲方及其工作人员约定，甲方及其工作人员利用职务之便为乙方谋取利益，乙方在其离职后给予财物。</w:t>
      </w:r>
    </w:p>
    <w:p w14:paraId="164DF3DC">
      <w:pPr>
        <w:spacing w:line="276" w:lineRule="auto"/>
        <w:ind w:firstLine="539" w:firstLineChars="257"/>
        <w:rPr>
          <w:rFonts w:ascii="宋体" w:hAnsi="宋体" w:eastAsia="宋体" w:cs="Times New Roman"/>
        </w:rPr>
      </w:pPr>
      <w:r>
        <w:rPr>
          <w:rFonts w:ascii="宋体" w:hAnsi="宋体" w:eastAsia="宋体" w:cs="Times New Roman"/>
        </w:rPr>
        <w:t>（3）乙方不得以任何名义为甲方及其工作人员报销由甲方单位或个人支付的任何费用。</w:t>
      </w:r>
    </w:p>
    <w:p w14:paraId="559BBD4C">
      <w:pPr>
        <w:spacing w:line="276" w:lineRule="auto"/>
        <w:ind w:firstLine="539" w:firstLineChars="257"/>
        <w:rPr>
          <w:rFonts w:ascii="宋体" w:hAnsi="宋体" w:eastAsia="宋体" w:cs="Times New Roman"/>
        </w:rPr>
      </w:pPr>
      <w:r>
        <w:rPr>
          <w:rFonts w:ascii="宋体" w:hAnsi="宋体" w:eastAsia="宋体" w:cs="Times New Roman"/>
        </w:rPr>
        <w:t>（4）乙方及其工作人员不得以任何理由邀请甲方工作人员参与可能影响公正执行公务的宴请以及旅游、健身、娱乐等活动。不得为甲方单位和个人购置或提供通讯工具、交通工具和高档办公用品等。</w:t>
      </w:r>
    </w:p>
    <w:p w14:paraId="422E7DE0">
      <w:pPr>
        <w:spacing w:line="276" w:lineRule="auto"/>
        <w:ind w:firstLine="539" w:firstLineChars="257"/>
        <w:rPr>
          <w:rFonts w:ascii="宋体" w:hAnsi="宋体" w:eastAsia="宋体" w:cs="Times New Roman"/>
        </w:rPr>
      </w:pPr>
      <w:r>
        <w:rPr>
          <w:rFonts w:ascii="宋体" w:hAnsi="宋体" w:eastAsia="宋体" w:cs="Times New Roman"/>
        </w:rPr>
        <w:t>（5）乙方及其工作人员不得为甲方工作人员住房装修、婚丧嫁娶、出国出境、旅游等提供方便；不得为甲方工作人员的特定关系人以安排工作为名，使其不实际工作却获取薪酬。</w:t>
      </w:r>
    </w:p>
    <w:p w14:paraId="1B6E70FB">
      <w:pPr>
        <w:spacing w:line="276" w:lineRule="auto"/>
        <w:ind w:firstLine="539" w:firstLineChars="257"/>
        <w:rPr>
          <w:rFonts w:ascii="宋体" w:hAnsi="宋体" w:eastAsia="宋体" w:cs="Times New Roman"/>
        </w:rPr>
      </w:pPr>
      <w:r>
        <w:rPr>
          <w:rFonts w:ascii="宋体" w:hAnsi="宋体" w:eastAsia="宋体" w:cs="Times New Roman"/>
        </w:rPr>
        <w:t>（6）甲方及其工作人员不得有其他可能影响廉洁从业的行为。</w:t>
      </w:r>
    </w:p>
    <w:p w14:paraId="4A20404C">
      <w:pPr>
        <w:spacing w:line="276" w:lineRule="auto"/>
        <w:ind w:firstLine="539" w:firstLineChars="257"/>
        <w:rPr>
          <w:rFonts w:ascii="宋体" w:hAnsi="宋体" w:eastAsia="宋体" w:cs="Times New Roman"/>
        </w:rPr>
      </w:pPr>
      <w:r>
        <w:rPr>
          <w:rFonts w:ascii="宋体" w:hAnsi="宋体" w:eastAsia="宋体" w:cs="Times New Roman"/>
        </w:rPr>
        <w:t>4.违约责任</w:t>
      </w:r>
    </w:p>
    <w:p w14:paraId="399A8265">
      <w:pPr>
        <w:spacing w:line="276" w:lineRule="auto"/>
        <w:ind w:firstLine="539" w:firstLineChars="257"/>
        <w:rPr>
          <w:rFonts w:ascii="宋体" w:hAnsi="宋体" w:eastAsia="宋体" w:cs="Times New Roman"/>
        </w:rPr>
      </w:pPr>
      <w:r>
        <w:rPr>
          <w:rFonts w:ascii="宋体" w:hAnsi="宋体" w:eastAsia="宋体" w:cs="Times New Roman"/>
        </w:rPr>
        <w:t>（1）甲方及其工作人员违反本合同第1、2条，按管理权限，依据有关规定给予党纪政务处分和组织处理；涉嫌犯罪的，移交司法机关追究刑事责任；给乙方单位造成经济损失的，应予以赔偿。</w:t>
      </w:r>
    </w:p>
    <w:p w14:paraId="5A6FB8B7">
      <w:pPr>
        <w:spacing w:line="276" w:lineRule="auto"/>
        <w:ind w:firstLine="539" w:firstLineChars="257"/>
        <w:rPr>
          <w:rFonts w:ascii="宋体" w:hAnsi="宋体" w:eastAsia="宋体" w:cs="Times New Roman"/>
        </w:rPr>
      </w:pPr>
      <w:r>
        <w:rPr>
          <w:rFonts w:ascii="宋体" w:hAnsi="宋体" w:eastAsia="宋体" w:cs="Times New Roman"/>
        </w:rPr>
        <w:t>（2）乙方及其工作人员违反本合同第1、3条，按管理权限，依据有关规定，给予相关处理；给甲方单位造成经济损失的，应予以赔偿。</w:t>
      </w:r>
    </w:p>
    <w:p w14:paraId="7B8D54D2">
      <w:pPr>
        <w:spacing w:line="276" w:lineRule="auto"/>
        <w:ind w:firstLine="539" w:firstLineChars="257"/>
        <w:rPr>
          <w:rFonts w:ascii="宋体" w:hAnsi="宋体" w:eastAsia="宋体" w:cs="Times New Roman"/>
        </w:rPr>
      </w:pPr>
      <w:r>
        <w:rPr>
          <w:rFonts w:ascii="宋体" w:hAnsi="宋体" w:eastAsia="宋体" w:cs="Times New Roman"/>
        </w:rPr>
        <w:t>5.本合同有效期为甲乙双方签署之日起至该供货/服务合同履行完毕后止。</w:t>
      </w:r>
    </w:p>
    <w:p w14:paraId="6D1173D6">
      <w:pPr>
        <w:spacing w:line="276" w:lineRule="auto"/>
        <w:ind w:firstLine="539" w:firstLineChars="257"/>
        <w:rPr>
          <w:rFonts w:ascii="宋体" w:hAnsi="宋体" w:eastAsia="宋体" w:cs="Times New Roman"/>
        </w:rPr>
      </w:pPr>
      <w:r>
        <w:rPr>
          <w:rFonts w:ascii="宋体" w:hAnsi="宋体" w:eastAsia="宋体" w:cs="Times New Roman"/>
        </w:rPr>
        <w:t>6.本合同作为        （合同文件名称）的附件，与其具有同等的法律效力，经合同双方签署立即生效。</w:t>
      </w:r>
    </w:p>
    <w:p w14:paraId="5613507F">
      <w:pPr>
        <w:spacing w:line="276" w:lineRule="auto"/>
        <w:ind w:firstLine="539" w:firstLineChars="257"/>
        <w:rPr>
          <w:rFonts w:ascii="宋体" w:hAnsi="宋体" w:eastAsia="宋体" w:cs="Times New Roman"/>
        </w:rPr>
      </w:pPr>
      <w:r>
        <w:rPr>
          <w:rFonts w:ascii="宋体" w:hAnsi="宋体" w:eastAsia="宋体" w:cs="Times New Roman"/>
        </w:rPr>
        <w:t>7.本合同一式    份，由甲、乙双方各执    份，送交双方监督单位各    份。</w:t>
      </w:r>
    </w:p>
    <w:p w14:paraId="5A230866">
      <w:pPr>
        <w:spacing w:line="276" w:lineRule="auto"/>
        <w:ind w:firstLine="539" w:firstLineChars="257"/>
        <w:rPr>
          <w:rFonts w:ascii="宋体" w:hAnsi="宋体" w:eastAsia="宋体" w:cs="Times New Roman"/>
        </w:rPr>
      </w:pPr>
      <w:r>
        <w:rPr>
          <w:rFonts w:ascii="宋体" w:hAnsi="宋体" w:eastAsia="宋体" w:cs="Times New Roman"/>
        </w:rPr>
        <w:t xml:space="preserve"> </w:t>
      </w:r>
    </w:p>
    <w:p w14:paraId="4E361B0F">
      <w:pPr>
        <w:spacing w:line="276" w:lineRule="auto"/>
        <w:ind w:firstLine="539" w:firstLineChars="257"/>
        <w:rPr>
          <w:rFonts w:ascii="宋体" w:hAnsi="宋体" w:eastAsia="宋体" w:cs="Times New Roman"/>
        </w:rPr>
      </w:pPr>
      <w:r>
        <w:rPr>
          <w:rFonts w:ascii="宋体" w:hAnsi="宋体" w:eastAsia="宋体" w:cs="Times New Roman"/>
        </w:rPr>
        <w:t xml:space="preserve"> </w:t>
      </w:r>
    </w:p>
    <w:p w14:paraId="1EE444C4">
      <w:pPr>
        <w:spacing w:line="276" w:lineRule="auto"/>
        <w:ind w:firstLine="539" w:firstLineChars="257"/>
        <w:rPr>
          <w:rFonts w:ascii="宋体" w:hAnsi="宋体" w:eastAsia="宋体" w:cs="Times New Roman"/>
        </w:rPr>
      </w:pPr>
      <w:r>
        <w:rPr>
          <w:rFonts w:ascii="宋体" w:hAnsi="宋体" w:eastAsia="宋体" w:cs="Times New Roman"/>
        </w:rPr>
        <w:t>甲方单位：（盖章）                       乙方单位：（盖章）</w:t>
      </w:r>
    </w:p>
    <w:p w14:paraId="779B2AA9">
      <w:pPr>
        <w:spacing w:line="276" w:lineRule="auto"/>
        <w:ind w:firstLine="539" w:firstLineChars="257"/>
        <w:rPr>
          <w:rFonts w:ascii="宋体" w:hAnsi="宋体" w:eastAsia="宋体" w:cs="Times New Roman"/>
        </w:rPr>
      </w:pPr>
      <w:r>
        <w:rPr>
          <w:rFonts w:ascii="宋体" w:hAnsi="宋体" w:eastAsia="宋体" w:cs="Times New Roman"/>
        </w:rPr>
        <w:t xml:space="preserve"> </w:t>
      </w:r>
    </w:p>
    <w:p w14:paraId="3483C0F1">
      <w:pPr>
        <w:spacing w:line="276" w:lineRule="auto"/>
        <w:ind w:firstLine="539" w:firstLineChars="257"/>
        <w:rPr>
          <w:rFonts w:ascii="宋体" w:hAnsi="宋体" w:eastAsia="宋体" w:cs="Times New Roman"/>
        </w:rPr>
      </w:pPr>
      <w:r>
        <w:rPr>
          <w:rFonts w:ascii="宋体" w:hAnsi="宋体" w:eastAsia="宋体" w:cs="Times New Roman"/>
        </w:rPr>
        <w:t>法定代表人：                             法定代表人：</w:t>
      </w:r>
    </w:p>
    <w:p w14:paraId="4EFE7550">
      <w:pPr>
        <w:spacing w:line="276" w:lineRule="auto"/>
        <w:ind w:firstLine="539" w:firstLineChars="257"/>
        <w:rPr>
          <w:rFonts w:ascii="宋体" w:hAnsi="宋体" w:eastAsia="宋体" w:cs="Times New Roman"/>
        </w:rPr>
      </w:pPr>
      <w:r>
        <w:rPr>
          <w:rFonts w:ascii="宋体" w:hAnsi="宋体" w:eastAsia="宋体" w:cs="Times New Roman"/>
        </w:rPr>
        <w:t>或                                       或</w:t>
      </w:r>
    </w:p>
    <w:p w14:paraId="525F6C80">
      <w:pPr>
        <w:spacing w:line="276" w:lineRule="auto"/>
        <w:ind w:firstLine="539" w:firstLineChars="257"/>
        <w:rPr>
          <w:rFonts w:ascii="宋体" w:hAnsi="宋体" w:eastAsia="宋体" w:cs="Times New Roman"/>
        </w:rPr>
      </w:pPr>
      <w:r>
        <w:rPr>
          <w:rFonts w:ascii="宋体" w:hAnsi="宋体" w:eastAsia="宋体" w:cs="Times New Roman"/>
        </w:rPr>
        <w:t xml:space="preserve">其授权的代理人：                         其授权的代理人：          </w:t>
      </w:r>
    </w:p>
    <w:p w14:paraId="7B5383DE">
      <w:pPr>
        <w:spacing w:line="276" w:lineRule="auto"/>
        <w:ind w:firstLine="539" w:firstLineChars="257"/>
        <w:rPr>
          <w:rFonts w:ascii="宋体" w:hAnsi="宋体" w:eastAsia="宋体" w:cs="Times New Roman"/>
        </w:rPr>
      </w:pPr>
      <w:r>
        <w:rPr>
          <w:rFonts w:ascii="宋体" w:hAnsi="宋体" w:eastAsia="宋体" w:cs="Times New Roman"/>
        </w:rPr>
        <w:t xml:space="preserve"> </w:t>
      </w:r>
    </w:p>
    <w:p w14:paraId="76382464">
      <w:pPr>
        <w:spacing w:line="276" w:lineRule="auto"/>
        <w:ind w:firstLine="1169" w:firstLineChars="557"/>
        <w:rPr>
          <w:rFonts w:ascii="宋体" w:hAnsi="宋体" w:eastAsia="宋体" w:cs="Times New Roman"/>
        </w:rPr>
      </w:pPr>
      <w:r>
        <w:rPr>
          <w:rFonts w:ascii="宋体" w:hAnsi="宋体" w:eastAsia="宋体" w:cs="Times New Roman"/>
        </w:rPr>
        <w:t>年   月   日                                 年   月   日</w:t>
      </w:r>
    </w:p>
    <w:p w14:paraId="7F214973">
      <w:pPr>
        <w:spacing w:line="276" w:lineRule="auto"/>
        <w:ind w:firstLine="539" w:firstLineChars="257"/>
        <w:rPr>
          <w:rFonts w:ascii="宋体" w:hAnsi="宋体" w:eastAsia="宋体" w:cs="Times New Roman"/>
        </w:rPr>
      </w:pPr>
      <w:r>
        <w:rPr>
          <w:rFonts w:ascii="宋体" w:hAnsi="宋体" w:eastAsia="宋体" w:cs="Times New Roman"/>
        </w:rPr>
        <w:t xml:space="preserve"> </w:t>
      </w:r>
    </w:p>
    <w:p w14:paraId="28DFBC8A">
      <w:pPr>
        <w:spacing w:line="276" w:lineRule="auto"/>
        <w:ind w:firstLine="539" w:firstLineChars="257"/>
        <w:rPr>
          <w:rFonts w:ascii="宋体" w:hAnsi="宋体" w:eastAsia="宋体" w:cs="宋体"/>
          <w:kern w:val="0"/>
          <w:sz w:val="24"/>
        </w:rPr>
      </w:pPr>
      <w:r>
        <w:rPr>
          <w:rFonts w:ascii="宋体" w:hAnsi="宋体" w:eastAsia="宋体" w:cs="Times New Roman"/>
        </w:rPr>
        <w:t>甲方监督单位：（盖章）                  乙方监督单位：（盖章）</w:t>
      </w:r>
    </w:p>
    <w:p w14:paraId="701AFCD3">
      <w:pPr>
        <w:spacing w:line="276" w:lineRule="auto"/>
        <w:rPr>
          <w:rFonts w:ascii="Calibri" w:hAnsi="Calibri" w:eastAsia="宋体" w:cs="Times New Roman"/>
        </w:rPr>
      </w:pPr>
    </w:p>
    <w:p w14:paraId="1F3E3C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Dialog">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88B"/>
    <w:rsid w:val="002E4D82"/>
    <w:rsid w:val="003C188B"/>
    <w:rsid w:val="005A2504"/>
    <w:rsid w:val="00655B0E"/>
    <w:rsid w:val="00A1232A"/>
    <w:rsid w:val="00C569D4"/>
    <w:rsid w:val="00E30A1E"/>
    <w:rsid w:val="00F45C29"/>
    <w:rsid w:val="4CA97CF6"/>
    <w:rsid w:val="65422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rPr>
      <w:rFonts w:ascii="Calibri" w:hAnsi="Calibri" w:eastAsia="宋体" w:cs="Times New Roman"/>
    </w:r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文字 字符"/>
    <w:basedOn w:val="7"/>
    <w:link w:val="2"/>
    <w:semiHidden/>
    <w:qFormat/>
    <w:uiPriority w:val="99"/>
    <w:rPr>
      <w:rFonts w:ascii="Calibri" w:hAnsi="Calibri" w:eastAsia="宋体" w:cs="Times New Roman"/>
    </w:rPr>
  </w:style>
  <w:style w:type="character" w:customStyle="1" w:styleId="12">
    <w:name w:val="批注框文本 字符"/>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5578</Words>
  <Characters>5630</Characters>
  <Lines>53</Lines>
  <Paragraphs>14</Paragraphs>
  <TotalTime>6</TotalTime>
  <ScaleCrop>false</ScaleCrop>
  <LinksUpToDate>false</LinksUpToDate>
  <CharactersWithSpaces>6073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2023-10-20T06:47:00Z</dcterms:created>
  <dc:creator>hsgs_rfzhao</dc:creator>
  <cp:lastModifiedBy>木鱼</cp:lastModifiedBy>
  <dcterms:modified xsi:type="dcterms:W3CDTF">2025-12-09T08:40:54Z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eyJoZGlkIjoiNDg0NDZhOGEyNzYzZTYzOTQzYzcwODkyNDg3ZDM2YzIiLCJ1c2VySWQiOiI0MzQ4NDY1MDEifQ==</vt:lpwstr>
  </property>
  <property fmtid="{D5CDD505-2E9C-101B-9397-08002B2CF9AE}" pid="3" name="KSOProductBuildVer">
    <vt:lpwstr>2052-12.1.0.24034</vt:lpwstr>
  </property>
  <property fmtid="{D5CDD505-2E9C-101B-9397-08002B2CF9AE}" pid="4" name="ICV">
    <vt:lpwstr>176B9648FC584D3085AF80A9A6AA3DD0_12</vt:lpwstr>
  </property>
</Properties>
</file>