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F26D0">
      <w:pPr>
        <w:spacing w:line="500" w:lineRule="exact"/>
        <w:jc w:val="center"/>
        <w:outlineLvl w:val="0"/>
        <w:rPr>
          <w:rFonts w:ascii="黑体" w:hAnsi="黑体" w:eastAsia="黑体"/>
          <w:color w:val="auto"/>
          <w:sz w:val="30"/>
          <w:szCs w:val="30"/>
          <w:highlight w:val="none"/>
        </w:rPr>
      </w:pPr>
      <w:bookmarkStart w:id="7" w:name="_GoBack"/>
      <w:bookmarkEnd w:id="7"/>
      <w:r>
        <w:rPr>
          <w:rFonts w:ascii="黑体" w:hAnsi="黑体" w:eastAsia="黑体"/>
          <w:bCs/>
          <w:color w:val="auto"/>
          <w:sz w:val="32"/>
          <w:szCs w:val="32"/>
          <w:highlight w:val="none"/>
        </w:rPr>
        <w:t></w:t>
      </w:r>
      <w:r>
        <w:rPr>
          <w:rFonts w:hint="eastAsia" w:ascii="黑体" w:hAnsi="黑体" w:eastAsia="黑体"/>
          <w:bCs/>
          <w:color w:val="auto"/>
          <w:sz w:val="32"/>
          <w:szCs w:val="32"/>
          <w:highlight w:val="none"/>
        </w:rPr>
        <w:t>比选</w:t>
      </w:r>
      <w:r>
        <w:rPr>
          <w:rFonts w:ascii="黑体" w:hAnsi="黑体" w:eastAsia="黑体"/>
          <w:bCs/>
          <w:color w:val="auto"/>
          <w:sz w:val="32"/>
          <w:szCs w:val="32"/>
          <w:highlight w:val="none"/>
        </w:rPr>
        <w:t>公告</w:t>
      </w:r>
      <w:bookmarkStart w:id="0" w:name="_Toc23493"/>
      <w:bookmarkStart w:id="1" w:name="_Toc27830"/>
      <w:bookmarkStart w:id="2" w:name="_Toc478678855"/>
      <w:bookmarkStart w:id="3" w:name="_Toc31859"/>
      <w:bookmarkStart w:id="4" w:name="_Toc317"/>
      <w:bookmarkStart w:id="5" w:name="_Toc21512"/>
      <w:bookmarkStart w:id="6" w:name="_Toc13938"/>
    </w:p>
    <w:p w14:paraId="6AF62879">
      <w:pPr>
        <w:spacing w:line="500" w:lineRule="exact"/>
        <w:jc w:val="center"/>
        <w:outlineLvl w:val="0"/>
        <w:rPr>
          <w:rFonts w:ascii="黑体" w:hAnsi="黑体" w:eastAsia="黑体"/>
          <w:bCs/>
          <w:color w:val="auto"/>
          <w:sz w:val="30"/>
          <w:szCs w:val="30"/>
          <w:highlight w:val="none"/>
        </w:rPr>
      </w:pPr>
      <w:r>
        <w:rPr>
          <w:rFonts w:hint="eastAsia" w:ascii="黑体" w:hAnsi="黑体" w:eastAsia="黑体"/>
          <w:color w:val="auto"/>
          <w:sz w:val="30"/>
          <w:szCs w:val="30"/>
          <w:highlight w:val="none"/>
        </w:rPr>
        <w:t xml:space="preserve">  （比选</w:t>
      </w:r>
      <w:r>
        <w:rPr>
          <w:rFonts w:ascii="黑体" w:hAnsi="黑体" w:eastAsia="黑体"/>
          <w:color w:val="auto"/>
          <w:sz w:val="30"/>
          <w:szCs w:val="30"/>
          <w:highlight w:val="none"/>
        </w:rPr>
        <w:t>编号：</w:t>
      </w:r>
      <w:r>
        <w:rPr>
          <w:rFonts w:hint="eastAsia" w:ascii="黑体" w:hAnsi="黑体" w:eastAsia="黑体"/>
          <w:color w:val="auto"/>
          <w:sz w:val="30"/>
          <w:szCs w:val="30"/>
          <w:highlight w:val="none"/>
          <w:lang w:val="en-US" w:eastAsia="zh-CN"/>
        </w:rPr>
        <w:t xml:space="preserve">B-GD4124-D1-01 </w:t>
      </w:r>
      <w:r>
        <w:rPr>
          <w:rFonts w:ascii="黑体" w:hAnsi="黑体" w:eastAsia="黑体"/>
          <w:color w:val="auto"/>
          <w:sz w:val="30"/>
          <w:szCs w:val="30"/>
          <w:highlight w:val="none"/>
        </w:rPr>
        <w:t>)</w:t>
      </w:r>
      <w:bookmarkEnd w:id="0"/>
      <w:bookmarkEnd w:id="1"/>
      <w:bookmarkEnd w:id="2"/>
      <w:bookmarkEnd w:id="3"/>
      <w:bookmarkEnd w:id="4"/>
      <w:bookmarkEnd w:id="5"/>
      <w:bookmarkEnd w:id="6"/>
    </w:p>
    <w:p w14:paraId="0287DE04">
      <w:pPr>
        <w:widowControl/>
        <w:tabs>
          <w:tab w:val="left" w:pos="360"/>
        </w:tabs>
        <w:spacing w:before="120" w:beforeLines="50" w:after="120" w:afterLines="50" w:line="500" w:lineRule="exact"/>
        <w:jc w:val="left"/>
        <w:rPr>
          <w:b/>
          <w:bCs/>
          <w:color w:val="auto"/>
          <w:highlight w:val="none"/>
        </w:rPr>
      </w:pPr>
      <w:r>
        <w:rPr>
          <w:color w:val="auto"/>
          <w:highlight w:val="none"/>
        </w:rPr>
        <w:t>1.</w:t>
      </w:r>
      <w:r>
        <w:rPr>
          <w:rFonts w:hint="eastAsia"/>
          <w:b/>
          <w:bCs/>
          <w:color w:val="auto"/>
          <w:highlight w:val="none"/>
        </w:rPr>
        <w:t>比选</w:t>
      </w:r>
      <w:r>
        <w:rPr>
          <w:b/>
          <w:bCs/>
          <w:color w:val="auto"/>
          <w:highlight w:val="none"/>
        </w:rPr>
        <w:t>项目</w:t>
      </w:r>
    </w:p>
    <w:p w14:paraId="3A8B435C">
      <w:pPr>
        <w:widowControl/>
        <w:tabs>
          <w:tab w:val="left" w:pos="360"/>
        </w:tabs>
        <w:snapToGrid w:val="0"/>
        <w:spacing w:line="500" w:lineRule="exact"/>
        <w:ind w:firstLine="210" w:firstLineChars="100"/>
        <w:jc w:val="left"/>
        <w:rPr>
          <w:color w:val="auto"/>
          <w:szCs w:val="21"/>
          <w:highlight w:val="none"/>
        </w:rPr>
      </w:pPr>
      <w:r>
        <w:rPr>
          <w:color w:val="auto"/>
          <w:szCs w:val="21"/>
          <w:highlight w:val="none"/>
        </w:rPr>
        <w:t>1.1工程名称：</w:t>
      </w:r>
      <w:r>
        <w:rPr>
          <w:rFonts w:hint="eastAsia" w:eastAsia="宋体"/>
          <w:color w:val="auto"/>
          <w:szCs w:val="21"/>
          <w:highlight w:val="none"/>
          <w:u w:val="single"/>
          <w:lang w:eastAsia="zh-CN"/>
        </w:rPr>
        <w:t>嘉兴</w:t>
      </w:r>
      <w:r>
        <w:rPr>
          <w:rFonts w:hint="eastAsia" w:eastAsia="宋体"/>
          <w:color w:val="auto"/>
          <w:szCs w:val="21"/>
          <w:highlight w:val="none"/>
          <w:u w:val="single"/>
          <w:lang w:val="en-US" w:eastAsia="zh-CN"/>
        </w:rPr>
        <w:t>嘉隐云庭</w:t>
      </w:r>
      <w:r>
        <w:rPr>
          <w:rFonts w:hint="eastAsia" w:eastAsia="宋体"/>
          <w:color w:val="auto"/>
          <w:szCs w:val="21"/>
          <w:highlight w:val="none"/>
          <w:u w:val="single"/>
          <w:lang w:eastAsia="zh-CN"/>
        </w:rPr>
        <w:t>项目</w:t>
      </w:r>
      <w:r>
        <w:rPr>
          <w:rFonts w:hint="eastAsia" w:eastAsia="宋体"/>
          <w:color w:val="auto"/>
          <w:szCs w:val="21"/>
          <w:highlight w:val="none"/>
          <w:u w:val="single"/>
          <w:lang w:val="en-US" w:eastAsia="zh-CN"/>
        </w:rPr>
        <w:t>第三方维修</w:t>
      </w:r>
      <w:r>
        <w:rPr>
          <w:rFonts w:hint="eastAsia" w:eastAsia="宋体"/>
          <w:color w:val="auto"/>
          <w:szCs w:val="21"/>
          <w:highlight w:val="none"/>
          <w:u w:val="single"/>
          <w:lang w:eastAsia="zh-CN"/>
        </w:rPr>
        <w:t>工程</w:t>
      </w:r>
      <w:r>
        <w:rPr>
          <w:rFonts w:hint="eastAsia" w:eastAsia="宋体"/>
          <w:color w:val="auto"/>
          <w:szCs w:val="21"/>
          <w:highlight w:val="none"/>
          <w:u w:val="single"/>
        </w:rPr>
        <w:t xml:space="preserve"> </w:t>
      </w:r>
    </w:p>
    <w:p w14:paraId="2F87C916">
      <w:pPr>
        <w:widowControl/>
        <w:tabs>
          <w:tab w:val="left" w:pos="360"/>
          <w:tab w:val="left" w:pos="8820"/>
        </w:tabs>
        <w:snapToGrid w:val="0"/>
        <w:spacing w:line="500" w:lineRule="exact"/>
        <w:ind w:firstLine="210" w:firstLineChars="100"/>
        <w:jc w:val="left"/>
        <w:rPr>
          <w:rFonts w:hint="eastAsia" w:eastAsia="宋体"/>
          <w:color w:val="auto"/>
          <w:szCs w:val="21"/>
          <w:highlight w:val="none"/>
          <w:u w:val="single"/>
          <w:lang w:eastAsia="zh-CN"/>
        </w:rPr>
      </w:pPr>
      <w:r>
        <w:rPr>
          <w:color w:val="auto"/>
          <w:szCs w:val="21"/>
          <w:highlight w:val="none"/>
        </w:rPr>
        <w:t>1.2</w:t>
      </w:r>
      <w:r>
        <w:rPr>
          <w:rFonts w:hint="eastAsia"/>
          <w:color w:val="auto"/>
          <w:szCs w:val="21"/>
          <w:highlight w:val="none"/>
        </w:rPr>
        <w:t>比选</w:t>
      </w:r>
      <w:r>
        <w:rPr>
          <w:color w:val="auto"/>
          <w:szCs w:val="21"/>
          <w:highlight w:val="none"/>
        </w:rPr>
        <w:t>人：</w:t>
      </w:r>
      <w:r>
        <w:rPr>
          <w:rFonts w:hint="eastAsia" w:ascii="宋体" w:hAnsi="宋体"/>
          <w:iCs/>
          <w:spacing w:val="-6"/>
          <w:u w:val="single"/>
        </w:rPr>
        <w:t>嘉兴市交控安高房地产开发有限公司</w:t>
      </w:r>
    </w:p>
    <w:p w14:paraId="21189275">
      <w:pPr>
        <w:widowControl/>
        <w:tabs>
          <w:tab w:val="left" w:pos="360"/>
        </w:tabs>
        <w:spacing w:before="120" w:beforeLines="50" w:after="120" w:afterLines="50" w:line="500" w:lineRule="exact"/>
        <w:jc w:val="left"/>
        <w:rPr>
          <w:rFonts w:hint="eastAsia" w:eastAsiaTheme="minorEastAsia"/>
          <w:b/>
          <w:bCs/>
          <w:color w:val="auto"/>
          <w:highlight w:val="none"/>
          <w:lang w:val="en-US" w:eastAsia="zh-CN"/>
        </w:rPr>
      </w:pPr>
      <w:r>
        <w:rPr>
          <w:b/>
          <w:bCs/>
          <w:color w:val="auto"/>
          <w:sz w:val="24"/>
          <w:highlight w:val="none"/>
        </w:rPr>
        <w:t>2.</w:t>
      </w:r>
      <w:r>
        <w:rPr>
          <w:b/>
          <w:bCs/>
          <w:color w:val="auto"/>
          <w:highlight w:val="none"/>
        </w:rPr>
        <w:t>项目概况与</w:t>
      </w:r>
      <w:r>
        <w:rPr>
          <w:rFonts w:hint="eastAsia"/>
          <w:b/>
          <w:bCs/>
          <w:color w:val="auto"/>
          <w:highlight w:val="none"/>
        </w:rPr>
        <w:t>比选</w:t>
      </w:r>
      <w:r>
        <w:rPr>
          <w:b/>
          <w:bCs/>
          <w:color w:val="auto"/>
          <w:highlight w:val="none"/>
        </w:rPr>
        <w:t>范围</w:t>
      </w:r>
    </w:p>
    <w:p w14:paraId="75179088">
      <w:pPr>
        <w:tabs>
          <w:tab w:val="left" w:pos="2000"/>
        </w:tabs>
        <w:autoSpaceDE w:val="0"/>
        <w:autoSpaceDN w:val="0"/>
        <w:adjustRightInd w:val="0"/>
        <w:spacing w:line="500" w:lineRule="exact"/>
        <w:ind w:firstLine="210" w:firstLineChars="100"/>
        <w:jc w:val="left"/>
        <w:rPr>
          <w:rFonts w:hint="eastAsia" w:eastAsiaTheme="majorEastAsia"/>
          <w:color w:val="auto"/>
          <w:kern w:val="0"/>
          <w:position w:val="-1"/>
          <w:szCs w:val="21"/>
          <w:highlight w:val="none"/>
          <w:u w:val="single"/>
          <w:lang w:eastAsia="zh-CN"/>
        </w:rPr>
      </w:pPr>
      <w:r>
        <w:rPr>
          <w:rFonts w:hint="eastAsia" w:eastAsiaTheme="majorEastAsia"/>
          <w:color w:val="auto"/>
          <w:kern w:val="0"/>
          <w:position w:val="-1"/>
          <w:szCs w:val="21"/>
          <w:highlight w:val="none"/>
        </w:rPr>
        <w:t>2.1比选类别：</w:t>
      </w:r>
      <w:r>
        <w:rPr>
          <w:rFonts w:hint="eastAsia" w:eastAsiaTheme="majorEastAsia"/>
          <w:color w:val="auto"/>
          <w:kern w:val="0"/>
          <w:position w:val="-1"/>
          <w:szCs w:val="21"/>
          <w:highlight w:val="none"/>
          <w:u w:val="single"/>
          <w:lang w:val="en-US" w:eastAsia="zh-CN"/>
        </w:rPr>
        <w:t>施工</w:t>
      </w:r>
    </w:p>
    <w:p w14:paraId="1A13A5F6">
      <w:pPr>
        <w:autoSpaceDE/>
        <w:autoSpaceDN/>
        <w:adjustRightInd/>
        <w:spacing w:line="400" w:lineRule="exact"/>
        <w:ind w:firstLine="210" w:firstLineChars="100"/>
        <w:jc w:val="left"/>
        <w:rPr>
          <w:rFonts w:hint="eastAsia" w:eastAsia="宋体"/>
          <w:color w:val="auto"/>
          <w:kern w:val="0"/>
          <w:position w:val="-1"/>
          <w:szCs w:val="21"/>
          <w:highlight w:val="none"/>
          <w:u w:val="single"/>
          <w:lang w:val="en-US" w:eastAsia="zh-CN"/>
        </w:rPr>
      </w:pPr>
      <w:r>
        <w:rPr>
          <w:rFonts w:hint="eastAsia" w:eastAsiaTheme="majorEastAsia"/>
          <w:color w:val="auto"/>
          <w:kern w:val="0"/>
          <w:position w:val="-1"/>
          <w:szCs w:val="21"/>
          <w:highlight w:val="none"/>
        </w:rPr>
        <w:t>2.2项目概况：</w:t>
      </w:r>
      <w:r>
        <w:rPr>
          <w:rFonts w:hint="eastAsia" w:eastAsia="宋体"/>
          <w:color w:val="auto"/>
          <w:szCs w:val="21"/>
          <w:highlight w:val="none"/>
          <w:u w:val="single"/>
          <w:lang w:eastAsia="zh-CN"/>
        </w:rPr>
        <w:t>嘉兴</w:t>
      </w:r>
      <w:r>
        <w:rPr>
          <w:rFonts w:hint="eastAsia" w:eastAsia="宋体"/>
          <w:color w:val="auto"/>
          <w:szCs w:val="21"/>
          <w:highlight w:val="none"/>
          <w:u w:val="single"/>
          <w:lang w:val="en-US" w:eastAsia="zh-CN"/>
        </w:rPr>
        <w:t>嘉隐云庭</w:t>
      </w:r>
      <w:r>
        <w:rPr>
          <w:rFonts w:hint="eastAsia" w:eastAsia="宋体"/>
          <w:color w:val="auto"/>
          <w:szCs w:val="21"/>
          <w:highlight w:val="none"/>
          <w:u w:val="single"/>
          <w:lang w:eastAsia="zh-CN"/>
        </w:rPr>
        <w:t>项目</w:t>
      </w:r>
      <w:r>
        <w:rPr>
          <w:rFonts w:hint="eastAsia" w:eastAsia="宋体"/>
          <w:color w:val="auto"/>
          <w:szCs w:val="21"/>
          <w:highlight w:val="none"/>
          <w:u w:val="single"/>
          <w:lang w:val="en-US" w:eastAsia="zh-CN"/>
        </w:rPr>
        <w:t>第三方维修</w:t>
      </w:r>
      <w:r>
        <w:rPr>
          <w:rFonts w:hint="eastAsia" w:eastAsia="宋体"/>
          <w:color w:val="auto"/>
          <w:szCs w:val="21"/>
          <w:highlight w:val="none"/>
          <w:u w:val="single"/>
          <w:lang w:eastAsia="zh-CN"/>
        </w:rPr>
        <w:t>工程</w:t>
      </w:r>
      <w:r>
        <w:rPr>
          <w:rFonts w:hint="eastAsia" w:ascii="宋体" w:hAnsi="宋体" w:eastAsia="宋体" w:cs="Times New Roman"/>
          <w:szCs w:val="21"/>
        </w:rPr>
        <w:t>位</w:t>
      </w:r>
      <w:r>
        <w:rPr>
          <w:rFonts w:ascii="宋体" w:hAnsi="宋体" w:eastAsia="宋体" w:cs="Times New Roman"/>
          <w:szCs w:val="21"/>
        </w:rPr>
        <w:t>于</w:t>
      </w:r>
      <w:r>
        <w:rPr>
          <w:rFonts w:hint="eastAsia" w:ascii="宋体" w:hAnsi="宋体" w:eastAsia="宋体" w:cs="Times New Roman"/>
          <w:szCs w:val="21"/>
        </w:rPr>
        <w:t>新嘉街道三元路以北、城北路以西</w:t>
      </w:r>
      <w:r>
        <w:rPr>
          <w:rFonts w:hint="eastAsia" w:ascii="宋体" w:hAnsi="宋体" w:eastAsia="宋体" w:cs="Times New Roman"/>
          <w:szCs w:val="21"/>
          <w:lang w:eastAsia="zh-CN"/>
        </w:rPr>
        <w:t>，</w:t>
      </w:r>
      <w:r>
        <w:rPr>
          <w:rFonts w:hint="eastAsia" w:hAnsi="宋体"/>
          <w:kern w:val="0"/>
          <w:szCs w:val="21"/>
        </w:rPr>
        <w:t>总占地约80亩，容积率</w:t>
      </w:r>
      <w:r>
        <w:rPr>
          <w:rFonts w:hAnsi="宋体"/>
          <w:kern w:val="0"/>
          <w:szCs w:val="21"/>
        </w:rPr>
        <w:t>2</w:t>
      </w:r>
      <w:r>
        <w:rPr>
          <w:rFonts w:hint="eastAsia" w:hAnsi="宋体"/>
          <w:kern w:val="0"/>
          <w:szCs w:val="21"/>
        </w:rPr>
        <w:t>.2，总建面约18万方</w:t>
      </w:r>
      <w:r>
        <w:rPr>
          <w:rFonts w:hint="eastAsia" w:ascii="宋体" w:hAnsi="宋体" w:eastAsia="宋体" w:cs="Times New Roman"/>
          <w:szCs w:val="21"/>
        </w:rPr>
        <w:t>。</w:t>
      </w:r>
    </w:p>
    <w:p w14:paraId="4D5478B9">
      <w:pPr>
        <w:keepNext w:val="0"/>
        <w:keepLines w:val="0"/>
        <w:pageBreakBefore w:val="0"/>
        <w:widowControl w:val="0"/>
        <w:tabs>
          <w:tab w:val="left" w:pos="2000"/>
        </w:tabs>
        <w:kinsoku/>
        <w:wordWrap/>
        <w:overflowPunct/>
        <w:topLinePunct w:val="0"/>
        <w:autoSpaceDE w:val="0"/>
        <w:autoSpaceDN w:val="0"/>
        <w:bidi w:val="0"/>
        <w:adjustRightInd w:val="0"/>
        <w:snapToGrid/>
        <w:spacing w:line="500" w:lineRule="exact"/>
        <w:ind w:firstLine="210" w:firstLineChars="100"/>
        <w:jc w:val="left"/>
        <w:textAlignment w:val="auto"/>
        <w:rPr>
          <w:rFonts w:eastAsiaTheme="majorEastAsia"/>
          <w:color w:val="auto"/>
          <w:kern w:val="0"/>
          <w:position w:val="-1"/>
          <w:szCs w:val="21"/>
          <w:highlight w:val="none"/>
        </w:rPr>
      </w:pPr>
      <w:r>
        <w:rPr>
          <w:rFonts w:hint="eastAsia" w:eastAsiaTheme="majorEastAsia"/>
          <w:color w:val="auto"/>
          <w:kern w:val="0"/>
          <w:position w:val="-1"/>
          <w:szCs w:val="21"/>
          <w:highlight w:val="none"/>
        </w:rPr>
        <w:t>2.3建设地点：</w:t>
      </w:r>
      <w:r>
        <w:rPr>
          <w:rFonts w:hint="eastAsia" w:ascii="宋体" w:hAnsi="宋体"/>
          <w:bCs/>
          <w:color w:val="auto"/>
          <w:szCs w:val="21"/>
          <w:highlight w:val="none"/>
          <w:u w:val="single"/>
          <w:lang w:val="en-US" w:eastAsia="zh-CN"/>
        </w:rPr>
        <w:t>嘉兴市南湖</w:t>
      </w:r>
      <w:r>
        <w:rPr>
          <w:rFonts w:hint="eastAsia" w:ascii="宋体" w:hAnsi="宋体" w:eastAsia="宋体"/>
          <w:bCs/>
          <w:color w:val="auto"/>
          <w:szCs w:val="21"/>
          <w:highlight w:val="none"/>
          <w:u w:val="single"/>
        </w:rPr>
        <w:t>区</w:t>
      </w:r>
    </w:p>
    <w:p w14:paraId="57C8EBC8">
      <w:pPr>
        <w:tabs>
          <w:tab w:val="left" w:pos="2000"/>
        </w:tabs>
        <w:autoSpaceDE w:val="0"/>
        <w:autoSpaceDN w:val="0"/>
        <w:adjustRightInd w:val="0"/>
        <w:spacing w:line="500" w:lineRule="exact"/>
        <w:ind w:firstLine="210" w:firstLineChars="100"/>
        <w:jc w:val="left"/>
        <w:rPr>
          <w:rFonts w:hint="eastAsia" w:eastAsiaTheme="majorEastAsia"/>
          <w:color w:val="auto"/>
          <w:kern w:val="0"/>
          <w:position w:val="-1"/>
          <w:szCs w:val="21"/>
          <w:highlight w:val="none"/>
        </w:rPr>
      </w:pPr>
      <w:r>
        <w:rPr>
          <w:rFonts w:hint="eastAsia" w:eastAsiaTheme="majorEastAsia"/>
          <w:color w:val="auto"/>
          <w:kern w:val="0"/>
          <w:position w:val="-1"/>
          <w:szCs w:val="21"/>
          <w:highlight w:val="none"/>
        </w:rPr>
        <w:t>2.4比选范围：</w:t>
      </w:r>
      <w:r>
        <w:rPr>
          <w:rFonts w:hint="eastAsia" w:eastAsiaTheme="majorEastAsia"/>
          <w:color w:val="auto"/>
          <w:kern w:val="0"/>
          <w:position w:val="-1"/>
          <w:szCs w:val="21"/>
          <w:highlight w:val="none"/>
          <w:lang w:val="en-US" w:eastAsia="zh-CN"/>
        </w:rPr>
        <w:t>本项目维修整改工程</w:t>
      </w:r>
      <w:r>
        <w:rPr>
          <w:rFonts w:hint="eastAsia" w:eastAsiaTheme="majorEastAsia"/>
          <w:color w:val="auto"/>
          <w:kern w:val="0"/>
          <w:position w:val="-1"/>
          <w:szCs w:val="21"/>
          <w:highlight w:val="none"/>
        </w:rPr>
        <w:t>包括但不限于：内墙面和地面空鼓、开裂的修复；阴阳角和不平直线条的修复；墙面平整、垂直度的修复；门窗土建问题渗漏的修复；卫生间渗漏维修；楼板砼结构开裂的维修；下水不通畅处理；屋面渗漏维修；门锁维修；家庭插座不合格处理、水电安装工程维修；室外配套工程维修（如绿化养护（补种、除草、修剪、虫害消杀等）、景观水池维修改造（设备更新、维修）等）；地下室或首层返潮问题维修（除湿机租用、墙面防潮处理等）；地面不平造成排水不畅问题处理；消防风机控制柜故障、电机损坏、线路故障及消防管网保压问题维修内容；电梯故障维修；品质提升、物资代采购等及其他</w:t>
      </w:r>
      <w:r>
        <w:rPr>
          <w:rFonts w:hint="eastAsia" w:eastAsiaTheme="majorEastAsia"/>
          <w:color w:val="auto"/>
          <w:kern w:val="0"/>
          <w:position w:val="-1"/>
          <w:szCs w:val="21"/>
          <w:highlight w:val="none"/>
          <w:lang w:eastAsia="zh-CN"/>
        </w:rPr>
        <w:t>甲方</w:t>
      </w:r>
      <w:r>
        <w:rPr>
          <w:rFonts w:hint="eastAsia" w:eastAsiaTheme="majorEastAsia"/>
          <w:color w:val="auto"/>
          <w:kern w:val="0"/>
          <w:position w:val="-1"/>
          <w:szCs w:val="21"/>
          <w:highlight w:val="none"/>
        </w:rPr>
        <w:t>清单所列维修工程。按照已通过评审的维修方案、清单、技术要求及有关资料及说明进行修复工作。施工过程中需对房屋门窗、电器、设备、家居饰品、防水等房屋内的一切设施以及其他一切可能在施工过程中带来破坏的部位进行保护，并负责污染的清洁工作以及上述设施损坏的修复和赔偿工作。</w:t>
      </w:r>
    </w:p>
    <w:p w14:paraId="43698E01">
      <w:pPr>
        <w:tabs>
          <w:tab w:val="left" w:pos="2000"/>
        </w:tabs>
        <w:autoSpaceDE w:val="0"/>
        <w:autoSpaceDN w:val="0"/>
        <w:adjustRightInd w:val="0"/>
        <w:spacing w:line="500" w:lineRule="exact"/>
        <w:ind w:firstLine="210" w:firstLineChars="100"/>
        <w:jc w:val="left"/>
        <w:rPr>
          <w:rFonts w:eastAsiaTheme="majorEastAsia"/>
          <w:color w:val="auto"/>
          <w:kern w:val="0"/>
          <w:position w:val="-1"/>
          <w:szCs w:val="21"/>
          <w:highlight w:val="none"/>
        </w:rPr>
      </w:pPr>
      <w:r>
        <w:rPr>
          <w:rFonts w:hint="eastAsia" w:eastAsiaTheme="majorEastAsia"/>
          <w:color w:val="auto"/>
          <w:kern w:val="0"/>
          <w:position w:val="-1"/>
          <w:szCs w:val="21"/>
          <w:highlight w:val="none"/>
        </w:rPr>
        <w:t>2.5资金来源：自筹。</w:t>
      </w:r>
    </w:p>
    <w:p w14:paraId="2B72A392">
      <w:pPr>
        <w:spacing w:line="500" w:lineRule="exact"/>
        <w:ind w:firstLine="210" w:firstLineChars="100"/>
        <w:rPr>
          <w:color w:val="auto"/>
          <w:szCs w:val="21"/>
          <w:highlight w:val="none"/>
        </w:rPr>
      </w:pPr>
      <w:r>
        <w:rPr>
          <w:rFonts w:hint="eastAsia" w:eastAsiaTheme="majorEastAsia"/>
          <w:color w:val="auto"/>
          <w:kern w:val="0"/>
          <w:position w:val="-1"/>
          <w:szCs w:val="21"/>
          <w:highlight w:val="none"/>
        </w:rPr>
        <w:t>2.6工期：</w:t>
      </w:r>
      <w:r>
        <w:rPr>
          <w:rFonts w:hint="eastAsia"/>
          <w:color w:val="auto"/>
          <w:szCs w:val="21"/>
          <w:highlight w:val="none"/>
          <w:u w:val="single"/>
        </w:rPr>
        <w:t>开工时间以发包人</w:t>
      </w:r>
      <w:r>
        <w:rPr>
          <w:rFonts w:hint="eastAsia"/>
          <w:color w:val="auto"/>
          <w:szCs w:val="21"/>
          <w:highlight w:val="none"/>
          <w:u w:val="single"/>
          <w:lang w:val="en-US" w:eastAsia="zh-CN"/>
        </w:rPr>
        <w:t>或</w:t>
      </w:r>
      <w:r>
        <w:rPr>
          <w:rFonts w:hint="eastAsia"/>
          <w:color w:val="auto"/>
          <w:szCs w:val="21"/>
          <w:highlight w:val="none"/>
          <w:u w:val="single"/>
        </w:rPr>
        <w:t>监理人书面通知为准</w:t>
      </w:r>
      <w:r>
        <w:rPr>
          <w:rFonts w:hint="eastAsia"/>
          <w:color w:val="auto"/>
          <w:szCs w:val="21"/>
          <w:highlight w:val="none"/>
        </w:rPr>
        <w:t>。</w:t>
      </w:r>
    </w:p>
    <w:p w14:paraId="0F98FBC0">
      <w:pPr>
        <w:tabs>
          <w:tab w:val="left" w:pos="2000"/>
        </w:tabs>
        <w:autoSpaceDE w:val="0"/>
        <w:autoSpaceDN w:val="0"/>
        <w:adjustRightInd w:val="0"/>
        <w:spacing w:line="500" w:lineRule="exact"/>
        <w:ind w:left="120" w:leftChars="57" w:firstLine="105" w:firstLineChars="50"/>
        <w:jc w:val="left"/>
        <w:rPr>
          <w:rFonts w:eastAsiaTheme="majorEastAsia"/>
          <w:color w:val="auto"/>
          <w:kern w:val="0"/>
          <w:position w:val="-1"/>
          <w:szCs w:val="21"/>
          <w:highlight w:val="none"/>
          <w:u w:val="single"/>
        </w:rPr>
      </w:pPr>
      <w:r>
        <w:rPr>
          <w:rFonts w:hint="eastAsia" w:eastAsiaTheme="majorEastAsia"/>
          <w:color w:val="auto"/>
          <w:kern w:val="0"/>
          <w:position w:val="-1"/>
          <w:szCs w:val="21"/>
          <w:highlight w:val="none"/>
        </w:rPr>
        <w:t>2.7其他：</w:t>
      </w:r>
      <w:r>
        <w:rPr>
          <w:rFonts w:hint="eastAsia" w:eastAsiaTheme="majorEastAsia"/>
          <w:color w:val="auto"/>
          <w:kern w:val="0"/>
          <w:position w:val="-1"/>
          <w:szCs w:val="21"/>
          <w:highlight w:val="none"/>
          <w:u w:val="single"/>
        </w:rPr>
        <w:t>【</w:t>
      </w:r>
      <w:r>
        <w:rPr>
          <w:rFonts w:hint="eastAsia" w:eastAsiaTheme="majorEastAsia"/>
          <w:color w:val="auto"/>
          <w:kern w:val="0"/>
          <w:position w:val="-1"/>
          <w:szCs w:val="21"/>
          <w:highlight w:val="none"/>
          <w:u w:val="single"/>
          <w:lang w:val="en-US" w:eastAsia="zh-CN"/>
        </w:rPr>
        <w:t>/</w:t>
      </w:r>
      <w:r>
        <w:rPr>
          <w:rFonts w:hint="eastAsia" w:eastAsiaTheme="majorEastAsia"/>
          <w:color w:val="auto"/>
          <w:kern w:val="0"/>
          <w:position w:val="-1"/>
          <w:szCs w:val="21"/>
          <w:highlight w:val="none"/>
          <w:u w:val="single"/>
        </w:rPr>
        <w:t>】</w:t>
      </w:r>
    </w:p>
    <w:p w14:paraId="39EEB7A6">
      <w:pPr>
        <w:tabs>
          <w:tab w:val="left" w:pos="2000"/>
        </w:tabs>
        <w:autoSpaceDE w:val="0"/>
        <w:autoSpaceDN w:val="0"/>
        <w:adjustRightInd w:val="0"/>
        <w:spacing w:line="500" w:lineRule="exact"/>
        <w:ind w:left="120" w:leftChars="57" w:firstLine="105" w:firstLineChars="50"/>
        <w:jc w:val="left"/>
        <w:rPr>
          <w:b/>
          <w:color w:val="auto"/>
          <w:szCs w:val="21"/>
          <w:highlight w:val="none"/>
          <w:u w:val="single"/>
        </w:rPr>
      </w:pPr>
      <w:r>
        <w:rPr>
          <w:b/>
          <w:color w:val="auto"/>
          <w:szCs w:val="21"/>
          <w:highlight w:val="none"/>
        </w:rPr>
        <w:t>3</w:t>
      </w:r>
      <w:r>
        <w:rPr>
          <w:rFonts w:hint="eastAsia"/>
          <w:b/>
          <w:color w:val="auto"/>
          <w:szCs w:val="21"/>
          <w:highlight w:val="none"/>
        </w:rPr>
        <w:t>．参选人资格要求：</w:t>
      </w:r>
    </w:p>
    <w:p w14:paraId="736CAA0C">
      <w:pPr>
        <w:widowControl/>
        <w:tabs>
          <w:tab w:val="left" w:pos="360"/>
        </w:tabs>
        <w:snapToGrid w:val="0"/>
        <w:spacing w:line="500" w:lineRule="exact"/>
        <w:ind w:firstLine="210" w:firstLineChars="100"/>
        <w:rPr>
          <w:color w:val="auto"/>
          <w:szCs w:val="21"/>
          <w:highlight w:val="none"/>
        </w:rPr>
      </w:pPr>
      <w:r>
        <w:rPr>
          <w:rFonts w:hint="eastAsia"/>
          <w:color w:val="auto"/>
          <w:szCs w:val="21"/>
          <w:highlight w:val="none"/>
        </w:rPr>
        <w:t>3.1参选人</w:t>
      </w:r>
    </w:p>
    <w:p w14:paraId="2123B96C">
      <w:pPr>
        <w:widowControl/>
        <w:tabs>
          <w:tab w:val="left" w:pos="360"/>
        </w:tabs>
        <w:snapToGrid w:val="0"/>
        <w:spacing w:line="500" w:lineRule="exact"/>
        <w:ind w:firstLine="210" w:firstLineChars="100"/>
        <w:rPr>
          <w:color w:val="auto"/>
          <w:szCs w:val="21"/>
          <w:highlight w:val="none"/>
        </w:rPr>
      </w:pPr>
      <w:r>
        <w:rPr>
          <w:rFonts w:hint="eastAsia"/>
          <w:color w:val="auto"/>
          <w:szCs w:val="21"/>
          <w:highlight w:val="none"/>
        </w:rPr>
        <w:t>3.1.1须是【经中华人民共和国工商注册的独立法人，具有有效的营业执照】；</w:t>
      </w:r>
    </w:p>
    <w:p w14:paraId="28E4528F">
      <w:pPr>
        <w:widowControl/>
        <w:tabs>
          <w:tab w:val="left" w:pos="360"/>
        </w:tabs>
        <w:snapToGrid w:val="0"/>
        <w:spacing w:line="500" w:lineRule="exact"/>
        <w:ind w:firstLine="210" w:firstLineChars="100"/>
        <w:rPr>
          <w:color w:val="auto"/>
          <w:szCs w:val="21"/>
          <w:highlight w:val="none"/>
        </w:rPr>
      </w:pPr>
      <w:r>
        <w:rPr>
          <w:rFonts w:hint="eastAsia"/>
          <w:color w:val="auto"/>
          <w:szCs w:val="21"/>
          <w:highlight w:val="none"/>
        </w:rPr>
        <w:t>3.1.2须具有建筑工程施工总承包三级及以上资质，且具有有效的安全生产许可证；</w:t>
      </w:r>
    </w:p>
    <w:p w14:paraId="0EDFD461">
      <w:pPr>
        <w:widowControl/>
        <w:tabs>
          <w:tab w:val="left" w:pos="360"/>
        </w:tabs>
        <w:snapToGrid w:val="0"/>
        <w:spacing w:line="500" w:lineRule="exact"/>
        <w:ind w:firstLine="210" w:firstLineChars="100"/>
        <w:rPr>
          <w:color w:val="auto"/>
          <w:szCs w:val="21"/>
          <w:highlight w:val="none"/>
        </w:rPr>
      </w:pPr>
      <w:r>
        <w:rPr>
          <w:rFonts w:hint="eastAsia"/>
          <w:color w:val="auto"/>
          <w:szCs w:val="21"/>
          <w:highlight w:val="none"/>
        </w:rPr>
        <w:t xml:space="preserve">3.1.3 </w:t>
      </w:r>
      <w:r>
        <w:rPr>
          <w:rFonts w:hint="eastAsia"/>
          <w:color w:val="auto"/>
          <w:szCs w:val="21"/>
          <w:highlight w:val="none"/>
          <w:u w:val="single"/>
        </w:rPr>
        <w:t>近三年</w:t>
      </w:r>
      <w:r>
        <w:rPr>
          <w:rFonts w:hint="eastAsia"/>
          <w:color w:val="auto"/>
          <w:szCs w:val="21"/>
          <w:highlight w:val="none"/>
        </w:rPr>
        <w:t>具有</w:t>
      </w:r>
      <w:r>
        <w:rPr>
          <w:rFonts w:hint="eastAsia"/>
          <w:color w:val="auto"/>
          <w:szCs w:val="21"/>
          <w:highlight w:val="none"/>
          <w:lang w:val="en-US" w:eastAsia="zh-CN"/>
        </w:rPr>
        <w:t>1</w:t>
      </w:r>
      <w:r>
        <w:rPr>
          <w:rFonts w:hint="eastAsia"/>
          <w:color w:val="auto"/>
          <w:szCs w:val="21"/>
          <w:highlight w:val="none"/>
        </w:rPr>
        <w:t>个类似业绩；</w:t>
      </w:r>
    </w:p>
    <w:p w14:paraId="2B8BEF9D">
      <w:pPr>
        <w:widowControl/>
        <w:tabs>
          <w:tab w:val="left" w:pos="360"/>
        </w:tabs>
        <w:snapToGrid w:val="0"/>
        <w:spacing w:line="500" w:lineRule="exact"/>
        <w:ind w:firstLine="210" w:firstLineChars="100"/>
        <w:rPr>
          <w:color w:val="auto"/>
          <w:szCs w:val="21"/>
          <w:highlight w:val="none"/>
        </w:rPr>
      </w:pPr>
      <w:r>
        <w:rPr>
          <w:rFonts w:hint="eastAsia"/>
          <w:color w:val="auto"/>
          <w:szCs w:val="21"/>
          <w:highlight w:val="none"/>
        </w:rPr>
        <w:t>3.2拟派</w:t>
      </w:r>
      <w:r>
        <w:rPr>
          <w:rFonts w:hint="eastAsia"/>
          <w:color w:val="auto"/>
          <w:szCs w:val="21"/>
          <w:highlight w:val="none"/>
          <w:u w:val="single"/>
        </w:rPr>
        <w:t>项目经理</w:t>
      </w:r>
      <w:r>
        <w:rPr>
          <w:rFonts w:hint="eastAsia"/>
          <w:color w:val="auto"/>
          <w:szCs w:val="21"/>
          <w:highlight w:val="none"/>
        </w:rPr>
        <w:t>资格:</w:t>
      </w:r>
    </w:p>
    <w:p w14:paraId="0E984CC7">
      <w:pPr>
        <w:spacing w:line="400" w:lineRule="exact"/>
        <w:ind w:firstLine="210" w:firstLineChars="100"/>
        <w:rPr>
          <w:color w:val="auto"/>
          <w:szCs w:val="21"/>
          <w:highlight w:val="none"/>
        </w:rPr>
      </w:pPr>
      <w:r>
        <w:rPr>
          <w:rFonts w:hint="eastAsia"/>
          <w:color w:val="auto"/>
          <w:szCs w:val="21"/>
          <w:highlight w:val="none"/>
        </w:rPr>
        <w:t>3.2.1</w:t>
      </w:r>
      <w:r>
        <w:rPr>
          <w:color w:val="auto"/>
          <w:szCs w:val="21"/>
          <w:highlight w:val="none"/>
        </w:rPr>
        <w:t>具有</w:t>
      </w:r>
      <w:r>
        <w:rPr>
          <w:rFonts w:hint="eastAsia"/>
          <w:color w:val="auto"/>
          <w:szCs w:val="21"/>
          <w:highlight w:val="none"/>
          <w:u w:val="single"/>
          <w:lang w:val="en-US" w:eastAsia="zh-CN"/>
        </w:rPr>
        <w:t>建筑</w:t>
      </w:r>
      <w:r>
        <w:rPr>
          <w:rFonts w:hint="eastAsia" w:eastAsia="宋体"/>
          <w:color w:val="auto"/>
          <w:szCs w:val="21"/>
          <w:highlight w:val="none"/>
          <w:u w:val="single"/>
        </w:rPr>
        <w:t>工程</w:t>
      </w:r>
      <w:r>
        <w:rPr>
          <w:color w:val="auto"/>
          <w:szCs w:val="21"/>
          <w:highlight w:val="none"/>
        </w:rPr>
        <w:t>专业</w:t>
      </w:r>
      <w:r>
        <w:rPr>
          <w:rFonts w:hint="eastAsia"/>
          <w:color w:val="auto"/>
          <w:szCs w:val="21"/>
          <w:highlight w:val="none"/>
          <w:u w:val="single"/>
          <w:lang w:val="en-US" w:eastAsia="zh-CN"/>
        </w:rPr>
        <w:t>二</w:t>
      </w:r>
      <w:r>
        <w:rPr>
          <w:color w:val="auto"/>
          <w:szCs w:val="21"/>
          <w:highlight w:val="none"/>
        </w:rPr>
        <w:t>级及以上注册建造师资质和安全考核合格证（B类），且在本企业注册，</w:t>
      </w:r>
      <w:r>
        <w:rPr>
          <w:rFonts w:hint="eastAsia"/>
          <w:color w:val="auto"/>
          <w:szCs w:val="21"/>
          <w:highlight w:val="none"/>
          <w:lang w:val="en-US" w:eastAsia="zh-CN"/>
        </w:rPr>
        <w:t>并</w:t>
      </w:r>
      <w:r>
        <w:rPr>
          <w:color w:val="auto"/>
          <w:szCs w:val="21"/>
          <w:highlight w:val="none"/>
        </w:rPr>
        <w:t>提供在本单位连续缴纳的社会保险证明（</w:t>
      </w:r>
      <w:r>
        <w:rPr>
          <w:rFonts w:hint="eastAsia"/>
          <w:color w:val="auto"/>
          <w:szCs w:val="21"/>
          <w:highlight w:val="none"/>
          <w:u w:val="single"/>
          <w:lang w:val="en-US" w:eastAsia="zh-CN"/>
        </w:rPr>
        <w:t xml:space="preserve">2024 </w:t>
      </w:r>
      <w:r>
        <w:rPr>
          <w:color w:val="auto"/>
          <w:szCs w:val="21"/>
          <w:highlight w:val="none"/>
        </w:rPr>
        <w:t>年</w:t>
      </w:r>
      <w:r>
        <w:rPr>
          <w:rFonts w:hint="eastAsia"/>
          <w:color w:val="auto"/>
          <w:szCs w:val="21"/>
          <w:highlight w:val="none"/>
          <w:u w:val="single"/>
        </w:rPr>
        <w:t xml:space="preserve"> </w:t>
      </w:r>
      <w:r>
        <w:rPr>
          <w:rFonts w:hint="eastAsia"/>
          <w:color w:val="auto"/>
          <w:szCs w:val="21"/>
          <w:highlight w:val="none"/>
          <w:u w:val="single"/>
          <w:lang w:val="en-US" w:eastAsia="zh-CN"/>
        </w:rPr>
        <w:t xml:space="preserve">1 </w:t>
      </w:r>
      <w:r>
        <w:rPr>
          <w:color w:val="auto"/>
          <w:szCs w:val="21"/>
          <w:highlight w:val="none"/>
        </w:rPr>
        <w:t>月后至少</w:t>
      </w:r>
      <w:r>
        <w:rPr>
          <w:rFonts w:hint="eastAsia"/>
          <w:color w:val="auto"/>
          <w:szCs w:val="21"/>
          <w:highlight w:val="none"/>
          <w:u w:val="single"/>
        </w:rPr>
        <w:t xml:space="preserve"> </w:t>
      </w:r>
      <w:r>
        <w:rPr>
          <w:rFonts w:hint="eastAsia"/>
          <w:color w:val="auto"/>
          <w:szCs w:val="21"/>
          <w:highlight w:val="none"/>
          <w:u w:val="single"/>
          <w:lang w:val="en-US" w:eastAsia="zh-CN"/>
        </w:rPr>
        <w:t>3</w:t>
      </w:r>
      <w:r>
        <w:rPr>
          <w:rFonts w:hint="eastAsia"/>
          <w:color w:val="auto"/>
          <w:szCs w:val="21"/>
          <w:highlight w:val="none"/>
          <w:u w:val="single"/>
        </w:rPr>
        <w:t xml:space="preserve"> </w:t>
      </w:r>
      <w:r>
        <w:rPr>
          <w:color w:val="auto"/>
          <w:szCs w:val="21"/>
          <w:highlight w:val="none"/>
        </w:rPr>
        <w:t>个月，含</w:t>
      </w:r>
      <w:r>
        <w:rPr>
          <w:rFonts w:hint="eastAsia"/>
          <w:color w:val="auto"/>
          <w:szCs w:val="21"/>
          <w:highlight w:val="none"/>
          <w:u w:val="single"/>
        </w:rPr>
        <w:t xml:space="preserve"> </w:t>
      </w:r>
      <w:r>
        <w:rPr>
          <w:rFonts w:hint="eastAsia"/>
          <w:color w:val="auto"/>
          <w:szCs w:val="21"/>
          <w:highlight w:val="none"/>
          <w:u w:val="single"/>
          <w:lang w:val="en-US" w:eastAsia="zh-CN"/>
        </w:rPr>
        <w:t>2024</w:t>
      </w:r>
      <w:r>
        <w:rPr>
          <w:rFonts w:hint="eastAsia"/>
          <w:color w:val="auto"/>
          <w:szCs w:val="21"/>
          <w:highlight w:val="none"/>
          <w:u w:val="single"/>
        </w:rPr>
        <w:t xml:space="preserve"> </w:t>
      </w:r>
      <w:r>
        <w:rPr>
          <w:color w:val="auto"/>
          <w:szCs w:val="21"/>
          <w:highlight w:val="none"/>
        </w:rPr>
        <w:t>年</w:t>
      </w:r>
      <w:r>
        <w:rPr>
          <w:rFonts w:hint="eastAsia"/>
          <w:color w:val="auto"/>
          <w:szCs w:val="21"/>
          <w:highlight w:val="none"/>
          <w:u w:val="single"/>
        </w:rPr>
        <w:t xml:space="preserve">  </w:t>
      </w:r>
      <w:r>
        <w:rPr>
          <w:rFonts w:hint="eastAsia"/>
          <w:color w:val="auto"/>
          <w:szCs w:val="21"/>
          <w:highlight w:val="none"/>
          <w:u w:val="single"/>
          <w:lang w:val="en-US" w:eastAsia="zh-CN"/>
        </w:rPr>
        <w:t xml:space="preserve">1 </w:t>
      </w:r>
      <w:r>
        <w:rPr>
          <w:color w:val="auto"/>
          <w:szCs w:val="21"/>
          <w:highlight w:val="none"/>
        </w:rPr>
        <w:t>月），需加盖缴费单位证明专用章；</w:t>
      </w:r>
    </w:p>
    <w:p w14:paraId="6E6281F8">
      <w:pPr>
        <w:pStyle w:val="4"/>
        <w:ind w:left="0" w:leftChars="0" w:firstLine="210" w:firstLineChars="100"/>
        <w:jc w:val="both"/>
        <w:rPr>
          <w:rFonts w:hint="default" w:asciiTheme="minorHAnsi" w:hAnsiTheme="minorHAnsi" w:eastAsiaTheme="minorEastAsia" w:cstheme="minorBidi"/>
          <w:color w:val="auto"/>
          <w:kern w:val="2"/>
          <w:sz w:val="21"/>
          <w:szCs w:val="21"/>
          <w:highlight w:val="none"/>
          <w:lang w:val="en-US" w:eastAsia="zh-CN" w:bidi="ar-SA"/>
        </w:rPr>
      </w:pPr>
      <w:r>
        <w:rPr>
          <w:rFonts w:hint="eastAsia" w:asciiTheme="minorHAnsi" w:hAnsiTheme="minorHAnsi" w:eastAsiaTheme="minorEastAsia" w:cstheme="minorBidi"/>
          <w:color w:val="auto"/>
          <w:kern w:val="2"/>
          <w:sz w:val="21"/>
          <w:szCs w:val="21"/>
          <w:highlight w:val="none"/>
          <w:lang w:val="en-US" w:eastAsia="zh-CN" w:bidi="ar-SA"/>
        </w:rPr>
        <w:t>3.2.2</w:t>
      </w:r>
      <w:r>
        <w:rPr>
          <w:rFonts w:hint="eastAsia" w:eastAsiaTheme="minorEastAsia" w:cstheme="minorBidi"/>
          <w:color w:val="auto"/>
          <w:kern w:val="2"/>
          <w:sz w:val="21"/>
          <w:szCs w:val="21"/>
          <w:highlight w:val="none"/>
          <w:lang w:val="en-US" w:eastAsia="zh-CN" w:bidi="ar-SA"/>
        </w:rPr>
        <w:t xml:space="preserve"> </w:t>
      </w:r>
      <w:permStart w:id="0" w:edGrp="everyone"/>
      <w:r>
        <w:rPr>
          <w:rFonts w:hint="eastAsia" w:eastAsiaTheme="minorEastAsia" w:cstheme="minorBidi"/>
          <w:color w:val="auto"/>
          <w:kern w:val="2"/>
          <w:sz w:val="21"/>
          <w:szCs w:val="21"/>
          <w:highlight w:val="none"/>
          <w:lang w:val="en-US" w:eastAsia="zh-CN" w:bidi="ar-SA"/>
        </w:rPr>
        <w:t>近三年来在1个类似业绩中担任过项目经理。</w:t>
      </w:r>
      <w:permEnd w:id="0"/>
    </w:p>
    <w:p w14:paraId="019065B4">
      <w:pPr>
        <w:widowControl/>
        <w:tabs>
          <w:tab w:val="left" w:pos="360"/>
        </w:tabs>
        <w:snapToGrid w:val="0"/>
        <w:spacing w:line="500" w:lineRule="exact"/>
        <w:ind w:firstLine="210" w:firstLineChars="100"/>
        <w:rPr>
          <w:color w:val="auto"/>
          <w:szCs w:val="21"/>
          <w:highlight w:val="none"/>
        </w:rPr>
      </w:pPr>
      <w:r>
        <w:rPr>
          <w:color w:val="auto"/>
          <w:szCs w:val="21"/>
          <w:highlight w:val="none"/>
        </w:rPr>
        <w:t>3.3本项目不接受联合体</w:t>
      </w:r>
      <w:r>
        <w:rPr>
          <w:rFonts w:hint="eastAsia"/>
          <w:color w:val="auto"/>
          <w:szCs w:val="21"/>
          <w:highlight w:val="none"/>
        </w:rPr>
        <w:t>参选</w:t>
      </w:r>
      <w:r>
        <w:rPr>
          <w:color w:val="auto"/>
          <w:szCs w:val="21"/>
          <w:highlight w:val="none"/>
        </w:rPr>
        <w:t>；</w:t>
      </w:r>
    </w:p>
    <w:p w14:paraId="464575F9">
      <w:pPr>
        <w:widowControl/>
        <w:tabs>
          <w:tab w:val="left" w:pos="360"/>
        </w:tabs>
        <w:snapToGrid w:val="0"/>
        <w:spacing w:line="500" w:lineRule="exact"/>
        <w:ind w:firstLine="210" w:firstLineChars="100"/>
        <w:jc w:val="left"/>
        <w:rPr>
          <w:color w:val="auto"/>
          <w:szCs w:val="21"/>
          <w:highlight w:val="none"/>
        </w:rPr>
      </w:pPr>
      <w:r>
        <w:rPr>
          <w:rFonts w:hint="eastAsia"/>
          <w:color w:val="auto"/>
          <w:szCs w:val="21"/>
          <w:highlight w:val="none"/>
        </w:rPr>
        <w:t>3.4参选人按比选文件要求提供了无行贿犯罪承诺；</w:t>
      </w:r>
    </w:p>
    <w:p w14:paraId="7267A305">
      <w:pPr>
        <w:widowControl/>
        <w:tabs>
          <w:tab w:val="left" w:pos="360"/>
        </w:tabs>
        <w:snapToGrid w:val="0"/>
        <w:spacing w:line="500" w:lineRule="exact"/>
        <w:ind w:firstLine="210" w:firstLineChars="100"/>
        <w:jc w:val="left"/>
        <w:rPr>
          <w:color w:val="auto"/>
          <w:szCs w:val="21"/>
          <w:highlight w:val="none"/>
        </w:rPr>
      </w:pPr>
      <w:r>
        <w:rPr>
          <w:color w:val="auto"/>
          <w:szCs w:val="21"/>
          <w:highlight w:val="none"/>
        </w:rPr>
        <w:t>3.</w:t>
      </w:r>
      <w:r>
        <w:rPr>
          <w:rFonts w:hint="eastAsia"/>
          <w:color w:val="auto"/>
          <w:szCs w:val="21"/>
          <w:highlight w:val="none"/>
        </w:rPr>
        <w:t>5</w:t>
      </w:r>
      <w:r>
        <w:rPr>
          <w:color w:val="auto"/>
          <w:szCs w:val="21"/>
          <w:highlight w:val="none"/>
        </w:rPr>
        <w:t>单位负责人为同一人或者存在</w:t>
      </w:r>
      <w:r>
        <w:rPr>
          <w:rFonts w:hint="eastAsia"/>
          <w:color w:val="auto"/>
          <w:szCs w:val="21"/>
          <w:highlight w:val="none"/>
        </w:rPr>
        <w:t>关联</w:t>
      </w:r>
      <w:r>
        <w:rPr>
          <w:color w:val="auto"/>
          <w:szCs w:val="21"/>
          <w:highlight w:val="none"/>
        </w:rPr>
        <w:t>关系的不同单位，不得同时参加项目比选，违反规定的，相关</w:t>
      </w:r>
      <w:r>
        <w:rPr>
          <w:rFonts w:hint="eastAsia"/>
          <w:color w:val="auto"/>
          <w:szCs w:val="21"/>
          <w:highlight w:val="none"/>
        </w:rPr>
        <w:t>参选</w:t>
      </w:r>
      <w:r>
        <w:rPr>
          <w:color w:val="auto"/>
          <w:szCs w:val="21"/>
          <w:highlight w:val="none"/>
        </w:rPr>
        <w:t>均无效</w:t>
      </w:r>
      <w:r>
        <w:rPr>
          <w:rFonts w:hint="eastAsia"/>
          <w:color w:val="auto"/>
          <w:szCs w:val="21"/>
          <w:highlight w:val="none"/>
        </w:rPr>
        <w:t>，以国家企业信息公示系统</w:t>
      </w:r>
      <w:r>
        <w:rPr>
          <w:color w:val="auto"/>
          <w:szCs w:val="21"/>
          <w:highlight w:val="none"/>
        </w:rPr>
        <w:t>http://www.gsxt.gov.cn/index.html</w:t>
      </w:r>
      <w:r>
        <w:rPr>
          <w:rFonts w:hint="eastAsia"/>
          <w:color w:val="auto"/>
          <w:szCs w:val="21"/>
          <w:highlight w:val="none"/>
        </w:rPr>
        <w:t>查询为准；</w:t>
      </w:r>
    </w:p>
    <w:p w14:paraId="01AF2DD9">
      <w:pPr>
        <w:widowControl/>
        <w:tabs>
          <w:tab w:val="left" w:pos="360"/>
        </w:tabs>
        <w:snapToGrid w:val="0"/>
        <w:spacing w:line="500" w:lineRule="exact"/>
        <w:ind w:firstLine="210" w:firstLineChars="100"/>
        <w:jc w:val="left"/>
        <w:rPr>
          <w:color w:val="auto"/>
          <w:szCs w:val="21"/>
          <w:highlight w:val="none"/>
        </w:rPr>
      </w:pPr>
      <w:r>
        <w:rPr>
          <w:rFonts w:hint="eastAsia"/>
          <w:color w:val="auto"/>
          <w:szCs w:val="21"/>
          <w:highlight w:val="none"/>
        </w:rPr>
        <w:t>3.6</w:t>
      </w:r>
      <w:r>
        <w:rPr>
          <w:rFonts w:ascii="Tahoma" w:hAnsi="Tahoma" w:cs="Tahoma"/>
          <w:color w:val="auto"/>
          <w:szCs w:val="21"/>
          <w:highlight w:val="none"/>
          <w:shd w:val="clear" w:color="auto" w:fill="FFFFFF"/>
        </w:rPr>
        <w:t>在“</w:t>
      </w:r>
      <w:r>
        <w:rPr>
          <w:rFonts w:hint="eastAsia" w:ascii="Tahoma" w:hAnsi="Tahoma" w:cs="Tahoma"/>
          <w:color w:val="auto"/>
          <w:szCs w:val="21"/>
          <w:highlight w:val="none"/>
          <w:shd w:val="clear" w:color="auto" w:fill="FFFFFF"/>
        </w:rPr>
        <w:t>中国执行信息公开网（http://zxgk.court.gov.cn/index.jsp）中被列入失信被执行人名单</w:t>
      </w:r>
      <w:r>
        <w:rPr>
          <w:rFonts w:ascii="Tahoma" w:hAnsi="Tahoma" w:cs="Tahoma"/>
          <w:color w:val="auto"/>
          <w:szCs w:val="21"/>
          <w:highlight w:val="none"/>
          <w:shd w:val="clear" w:color="auto" w:fill="FFFFFF"/>
        </w:rPr>
        <w:t>，不得参加比选；</w:t>
      </w:r>
    </w:p>
    <w:p w14:paraId="500A7D54">
      <w:pPr>
        <w:widowControl/>
        <w:tabs>
          <w:tab w:val="left" w:pos="360"/>
        </w:tabs>
        <w:snapToGrid w:val="0"/>
        <w:spacing w:line="500" w:lineRule="exact"/>
        <w:ind w:firstLine="210" w:firstLineChars="100"/>
        <w:jc w:val="both"/>
        <w:rPr>
          <w:color w:val="auto"/>
          <w:szCs w:val="21"/>
          <w:highlight w:val="none"/>
        </w:rPr>
      </w:pPr>
      <w:r>
        <w:rPr>
          <w:rFonts w:hint="eastAsia"/>
          <w:color w:val="auto"/>
          <w:szCs w:val="21"/>
          <w:highlight w:val="none"/>
        </w:rPr>
        <w:t>3.7 被安徽省高速地产集团列入黑名单且在期限范围内的参选人，不得参加比选，以</w:t>
      </w:r>
      <w:r>
        <w:rPr>
          <w:color w:val="auto"/>
          <w:highlight w:val="none"/>
        </w:rPr>
        <w:fldChar w:fldCharType="begin"/>
      </w:r>
      <w:r>
        <w:rPr>
          <w:color w:val="auto"/>
          <w:highlight w:val="none"/>
        </w:rPr>
        <w:instrText xml:space="preserve"> HYPERLINK "http://www.gsdcgroup.com" </w:instrText>
      </w:r>
      <w:r>
        <w:rPr>
          <w:color w:val="auto"/>
          <w:highlight w:val="none"/>
        </w:rPr>
        <w:fldChar w:fldCharType="separate"/>
      </w:r>
      <w:r>
        <w:rPr>
          <w:color w:val="auto"/>
          <w:szCs w:val="21"/>
          <w:highlight w:val="none"/>
        </w:rPr>
        <w:t>http://www.gsdcgroup.com</w:t>
      </w:r>
      <w:r>
        <w:rPr>
          <w:color w:val="auto"/>
          <w:szCs w:val="21"/>
          <w:highlight w:val="none"/>
        </w:rPr>
        <w:fldChar w:fldCharType="end"/>
      </w:r>
      <w:r>
        <w:rPr>
          <w:rFonts w:hint="eastAsia"/>
          <w:color w:val="auto"/>
          <w:szCs w:val="21"/>
          <w:highlight w:val="none"/>
        </w:rPr>
        <w:t>查询为准。</w:t>
      </w:r>
    </w:p>
    <w:p w14:paraId="66FAAADE">
      <w:pPr>
        <w:widowControl/>
        <w:tabs>
          <w:tab w:val="left" w:pos="360"/>
        </w:tabs>
        <w:snapToGrid w:val="0"/>
        <w:spacing w:line="500" w:lineRule="exact"/>
        <w:ind w:firstLine="211" w:firstLineChars="100"/>
        <w:jc w:val="left"/>
        <w:rPr>
          <w:color w:val="auto"/>
          <w:szCs w:val="21"/>
          <w:highlight w:val="none"/>
        </w:rPr>
      </w:pPr>
      <w:r>
        <w:rPr>
          <w:rFonts w:hint="eastAsia"/>
          <w:b/>
          <w:color w:val="auto"/>
          <w:szCs w:val="21"/>
          <w:highlight w:val="none"/>
        </w:rPr>
        <w:t>备注：</w:t>
      </w:r>
      <w:r>
        <w:rPr>
          <w:rFonts w:hint="eastAsia"/>
          <w:color w:val="auto"/>
          <w:szCs w:val="21"/>
          <w:highlight w:val="none"/>
        </w:rPr>
        <w:t>（1）近三年：</w:t>
      </w:r>
      <w:r>
        <w:rPr>
          <w:rFonts w:hint="eastAsia"/>
          <w:color w:val="auto"/>
          <w:szCs w:val="21"/>
          <w:highlight w:val="none"/>
          <w:lang w:val="en-US" w:eastAsia="zh-CN"/>
        </w:rPr>
        <w:t>2021</w:t>
      </w:r>
      <w:r>
        <w:rPr>
          <w:color w:val="auto"/>
          <w:szCs w:val="21"/>
          <w:highlight w:val="none"/>
        </w:rPr>
        <w:t>年</w:t>
      </w:r>
      <w:r>
        <w:rPr>
          <w:rFonts w:hint="eastAsia"/>
          <w:color w:val="auto"/>
          <w:szCs w:val="21"/>
          <w:highlight w:val="none"/>
          <w:lang w:val="en-US" w:eastAsia="zh-CN"/>
        </w:rPr>
        <w:t>6</w:t>
      </w:r>
      <w:r>
        <w:rPr>
          <w:color w:val="auto"/>
          <w:szCs w:val="21"/>
          <w:highlight w:val="none"/>
        </w:rPr>
        <w:t>月</w:t>
      </w:r>
      <w:r>
        <w:rPr>
          <w:rFonts w:hint="eastAsia"/>
          <w:color w:val="auto"/>
          <w:szCs w:val="21"/>
          <w:highlight w:val="none"/>
          <w:lang w:val="en-US" w:eastAsia="zh-CN"/>
        </w:rPr>
        <w:t>1</w:t>
      </w:r>
      <w:r>
        <w:rPr>
          <w:color w:val="auto"/>
          <w:szCs w:val="21"/>
          <w:highlight w:val="none"/>
        </w:rPr>
        <w:t>日至</w:t>
      </w:r>
      <w:r>
        <w:rPr>
          <w:rFonts w:hint="eastAsia"/>
          <w:color w:val="auto"/>
          <w:szCs w:val="21"/>
          <w:highlight w:val="none"/>
        </w:rPr>
        <w:t>参选</w:t>
      </w:r>
      <w:r>
        <w:rPr>
          <w:color w:val="auto"/>
          <w:szCs w:val="21"/>
          <w:highlight w:val="none"/>
        </w:rPr>
        <w:t>文件递交截止日期</w:t>
      </w:r>
      <w:r>
        <w:rPr>
          <w:rFonts w:hint="eastAsia"/>
          <w:color w:val="auto"/>
          <w:szCs w:val="21"/>
          <w:highlight w:val="none"/>
        </w:rPr>
        <w:t>；</w:t>
      </w:r>
    </w:p>
    <w:p w14:paraId="2FD2D375">
      <w:pPr>
        <w:widowControl/>
        <w:tabs>
          <w:tab w:val="left" w:pos="360"/>
        </w:tabs>
        <w:snapToGrid w:val="0"/>
        <w:spacing w:line="500" w:lineRule="exact"/>
        <w:ind w:firstLine="210" w:firstLineChars="100"/>
        <w:jc w:val="left"/>
        <w:rPr>
          <w:color w:val="auto"/>
          <w:szCs w:val="21"/>
          <w:highlight w:val="none"/>
        </w:rPr>
      </w:pPr>
      <w:r>
        <w:rPr>
          <w:rFonts w:hint="eastAsia"/>
          <w:color w:val="auto"/>
          <w:szCs w:val="21"/>
          <w:highlight w:val="none"/>
        </w:rPr>
        <w:t>（2</w:t>
      </w:r>
      <w:r>
        <w:rPr>
          <w:rFonts w:hint="eastAsia"/>
          <w:color w:val="auto"/>
          <w:szCs w:val="21"/>
          <w:highlight w:val="none"/>
          <w:lang w:eastAsia="zh-CN"/>
        </w:rPr>
        <w:t>）</w:t>
      </w:r>
      <w:r>
        <w:rPr>
          <w:rFonts w:hint="eastAsia"/>
          <w:color w:val="auto"/>
          <w:szCs w:val="21"/>
          <w:highlight w:val="none"/>
        </w:rPr>
        <w:t>类似业绩指单项合同金额</w:t>
      </w:r>
      <w:r>
        <w:rPr>
          <w:rFonts w:hint="eastAsia"/>
          <w:color w:val="auto"/>
          <w:szCs w:val="21"/>
          <w:highlight w:val="none"/>
          <w:lang w:val="en-US" w:eastAsia="zh-CN"/>
        </w:rPr>
        <w:t>200</w:t>
      </w:r>
      <w:r>
        <w:rPr>
          <w:rFonts w:hint="eastAsia"/>
          <w:color w:val="auto"/>
          <w:szCs w:val="21"/>
          <w:highlight w:val="none"/>
        </w:rPr>
        <w:t>万元及以上的</w:t>
      </w:r>
      <w:r>
        <w:rPr>
          <w:rFonts w:hint="eastAsia"/>
          <w:color w:val="auto"/>
          <w:szCs w:val="21"/>
          <w:highlight w:val="none"/>
          <w:u w:val="single"/>
        </w:rPr>
        <w:t>房建工程施工业绩</w:t>
      </w:r>
      <w:r>
        <w:rPr>
          <w:rFonts w:hint="eastAsia"/>
          <w:color w:val="auto"/>
          <w:szCs w:val="21"/>
          <w:highlight w:val="none"/>
        </w:rPr>
        <w:t>；业绩证明材料以合同及建设单位、施工单位、监理单位(如有)三方盖章的完工验收证明为准；业绩金额以合同为准，业绩时间以完工验收证明载明的验收合格时间为准，合同或完工验收证明中须体现项目经理信息，两者不一致时，以完工验收证明为准；所提供的业绩证明材料中如不能明确反映出比选文件所要求的内容的（如业绩时间、项目经理姓名、工程内容等），应另附加盖建设单位公章的证明材料予以明确说明，否则评审委员会不予认可；</w:t>
      </w:r>
    </w:p>
    <w:p w14:paraId="63FFF21D">
      <w:pPr>
        <w:widowControl/>
        <w:tabs>
          <w:tab w:val="left" w:pos="360"/>
        </w:tabs>
        <w:snapToGrid w:val="0"/>
        <w:spacing w:line="500" w:lineRule="exact"/>
        <w:ind w:firstLine="210" w:firstLineChars="100"/>
        <w:jc w:val="left"/>
        <w:rPr>
          <w:color w:val="auto"/>
          <w:szCs w:val="21"/>
          <w:highlight w:val="none"/>
        </w:rPr>
      </w:pPr>
      <w:r>
        <w:rPr>
          <w:rFonts w:hint="eastAsia"/>
          <w:color w:val="auto"/>
          <w:szCs w:val="21"/>
          <w:highlight w:val="none"/>
        </w:rPr>
        <w:t>（3）参选人和拟派项目经理业绩可以为同一业绩；</w:t>
      </w:r>
    </w:p>
    <w:p w14:paraId="0062ACEE">
      <w:pPr>
        <w:widowControl/>
        <w:tabs>
          <w:tab w:val="left" w:pos="360"/>
        </w:tabs>
        <w:snapToGrid w:val="0"/>
        <w:spacing w:line="500" w:lineRule="exact"/>
        <w:ind w:firstLine="210" w:firstLineChars="100"/>
        <w:jc w:val="left"/>
        <w:rPr>
          <w:rFonts w:hint="eastAsia"/>
          <w:color w:val="auto"/>
          <w:szCs w:val="21"/>
          <w:highlight w:val="none"/>
        </w:rPr>
      </w:pPr>
      <w:r>
        <w:rPr>
          <w:rFonts w:hint="eastAsia"/>
          <w:color w:val="auto"/>
          <w:szCs w:val="21"/>
          <w:highlight w:val="none"/>
        </w:rPr>
        <w:t>（4）关联关系：指公司控股股东、实际控制人、董事、监事、高级管理人员与其直接或者间接控制的企业之间的关系，以及可能导致公司利益转移的其他关系。</w:t>
      </w:r>
    </w:p>
    <w:p w14:paraId="084F5A8C">
      <w:pPr>
        <w:widowControl/>
        <w:tabs>
          <w:tab w:val="left" w:pos="312"/>
          <w:tab w:val="left" w:pos="360"/>
        </w:tabs>
        <w:snapToGrid w:val="0"/>
        <w:spacing w:before="120" w:beforeLines="50" w:after="120" w:afterLines="50" w:line="500" w:lineRule="exact"/>
        <w:jc w:val="left"/>
        <w:rPr>
          <w:b/>
          <w:bCs/>
          <w:color w:val="auto"/>
          <w:highlight w:val="none"/>
        </w:rPr>
      </w:pPr>
      <w:r>
        <w:rPr>
          <w:b/>
          <w:bCs/>
          <w:color w:val="auto"/>
          <w:highlight w:val="none"/>
        </w:rPr>
        <w:t>4．</w:t>
      </w:r>
      <w:r>
        <w:rPr>
          <w:rFonts w:hint="eastAsia"/>
          <w:b/>
          <w:bCs/>
          <w:color w:val="auto"/>
          <w:highlight w:val="none"/>
        </w:rPr>
        <w:t>比选</w:t>
      </w:r>
      <w:r>
        <w:rPr>
          <w:b/>
          <w:bCs/>
          <w:color w:val="auto"/>
          <w:highlight w:val="none"/>
        </w:rPr>
        <w:t>文件的获取</w:t>
      </w:r>
    </w:p>
    <w:p w14:paraId="5C3CB589">
      <w:pPr>
        <w:widowControl/>
        <w:snapToGrid/>
        <w:spacing w:before="0" w:beforeLines="-2147483648" w:after="0" w:afterLines="-2147483648" w:line="500" w:lineRule="exact"/>
        <w:jc w:val="left"/>
        <w:textAlignment w:val="center"/>
        <w:rPr>
          <w:b/>
          <w:bCs/>
          <w:color w:val="auto"/>
          <w:highlight w:val="none"/>
        </w:rPr>
      </w:pPr>
      <w:r>
        <w:rPr>
          <w:bCs/>
        </w:rPr>
        <w:t>凡有意参选者，请点击本页面下方的“下载附件”自行下载比选文件等相关资料，如对比选文件等有疑问的可以将疑问发至邮箱</w:t>
      </w:r>
      <w:r>
        <w:rPr>
          <w:rFonts w:hint="eastAsia"/>
          <w:szCs w:val="21"/>
          <w:u w:val="single"/>
        </w:rPr>
        <w:t>996188378</w:t>
      </w:r>
      <w:r>
        <w:rPr>
          <w:szCs w:val="21"/>
          <w:u w:val="single"/>
        </w:rPr>
        <w:t>@qq.com</w:t>
      </w:r>
      <w:r>
        <w:rPr>
          <w:bCs/>
        </w:rPr>
        <w:t>，比选人如对本次比选有澄清答疑将在本网站澄清答疑页面进行发布，请参选人随时关注。</w:t>
      </w:r>
    </w:p>
    <w:p w14:paraId="71945750">
      <w:pPr>
        <w:widowControl/>
        <w:spacing w:before="100" w:beforeAutospacing="1" w:after="100" w:afterAutospacing="1"/>
        <w:jc w:val="left"/>
        <w:textAlignment w:val="center"/>
        <w:rPr>
          <w:rFonts w:ascii="宋体" w:hAnsi="宋体" w:cs="宋体"/>
          <w:color w:val="auto"/>
          <w:kern w:val="0"/>
          <w:sz w:val="24"/>
          <w:highlight w:val="none"/>
        </w:rPr>
      </w:pPr>
      <w:r>
        <w:rPr>
          <w:rFonts w:ascii="宋体" w:hAnsi="宋体" w:cs="宋体"/>
          <w:b/>
          <w:bCs/>
          <w:color w:val="auto"/>
          <w:kern w:val="0"/>
          <w:sz w:val="24"/>
          <w:highlight w:val="none"/>
        </w:rPr>
        <w:t>5．</w:t>
      </w:r>
      <w:r>
        <w:rPr>
          <w:b/>
          <w:bCs/>
          <w:color w:val="auto"/>
          <w:highlight w:val="none"/>
        </w:rPr>
        <w:t>参选文件的递交</w:t>
      </w:r>
    </w:p>
    <w:p w14:paraId="34790350">
      <w:pPr>
        <w:widowControl/>
        <w:tabs>
          <w:tab w:val="left" w:pos="360"/>
        </w:tabs>
        <w:snapToGrid w:val="0"/>
        <w:spacing w:before="0" w:beforeLines="50" w:after="0" w:afterLines="50" w:line="500" w:lineRule="exact"/>
        <w:ind w:firstLine="210" w:firstLineChars="100"/>
        <w:jc w:val="left"/>
        <w:rPr>
          <w:rFonts w:hint="eastAsia"/>
          <w:bCs/>
          <w:szCs w:val="21"/>
        </w:rPr>
      </w:pPr>
      <w:r>
        <w:rPr>
          <w:bCs/>
          <w:szCs w:val="21"/>
        </w:rPr>
        <w:t>5.1</w:t>
      </w:r>
      <w:r>
        <w:rPr>
          <w:rFonts w:hint="eastAsia"/>
          <w:bCs/>
          <w:szCs w:val="21"/>
        </w:rPr>
        <w:t>参选文件递交的截止时间</w:t>
      </w:r>
      <w:r>
        <w:rPr>
          <w:bCs/>
          <w:szCs w:val="21"/>
        </w:rPr>
        <w:t>：</w:t>
      </w:r>
      <w:permStart w:id="1" w:edGrp="everyone"/>
      <w:r>
        <w:rPr>
          <w:rFonts w:hint="eastAsia"/>
          <w:bCs/>
          <w:szCs w:val="21"/>
        </w:rPr>
        <w:t>202</w:t>
      </w:r>
      <w:r>
        <w:rPr>
          <w:rFonts w:hint="eastAsia"/>
          <w:bCs/>
          <w:szCs w:val="21"/>
          <w:lang w:val="en-US" w:eastAsia="zh-CN"/>
        </w:rPr>
        <w:t>4</w:t>
      </w:r>
      <w:r>
        <w:rPr>
          <w:rFonts w:hint="eastAsia"/>
          <w:bCs/>
          <w:szCs w:val="21"/>
        </w:rPr>
        <w:t>年</w:t>
      </w:r>
      <w:r>
        <w:rPr>
          <w:rFonts w:hint="eastAsia"/>
          <w:bCs/>
          <w:szCs w:val="21"/>
          <w:lang w:val="en-US" w:eastAsia="zh-CN"/>
        </w:rPr>
        <w:t xml:space="preserve"> 7 </w:t>
      </w:r>
      <w:r>
        <w:rPr>
          <w:rFonts w:hint="eastAsia"/>
          <w:bCs/>
          <w:szCs w:val="21"/>
        </w:rPr>
        <w:t>月</w:t>
      </w:r>
      <w:r>
        <w:rPr>
          <w:rFonts w:hint="eastAsia"/>
          <w:bCs/>
          <w:szCs w:val="21"/>
          <w:lang w:val="en-US" w:eastAsia="zh-CN"/>
        </w:rPr>
        <w:t xml:space="preserve"> 9 </w:t>
      </w:r>
      <w:r>
        <w:rPr>
          <w:rFonts w:hint="eastAsia"/>
          <w:bCs/>
          <w:szCs w:val="21"/>
        </w:rPr>
        <w:t>日</w:t>
      </w:r>
      <w:r>
        <w:rPr>
          <w:rFonts w:hint="eastAsia"/>
          <w:bCs/>
          <w:szCs w:val="21"/>
          <w:lang w:val="en-US" w:eastAsia="zh-CN"/>
        </w:rPr>
        <w:t>9</w:t>
      </w:r>
      <w:r>
        <w:rPr>
          <w:rFonts w:hint="eastAsia"/>
          <w:bCs/>
          <w:szCs w:val="21"/>
        </w:rPr>
        <w:t>:30（北京时间）</w:t>
      </w:r>
    </w:p>
    <w:permEnd w:id="1"/>
    <w:p w14:paraId="61EBF4AC">
      <w:pPr>
        <w:widowControl/>
        <w:numPr>
          <w:ilvl w:val="-1"/>
          <w:numId w:val="0"/>
        </w:numPr>
        <w:tabs>
          <w:tab w:val="left" w:pos="360"/>
        </w:tabs>
        <w:snapToGrid w:val="0"/>
        <w:spacing w:before="0" w:beforeLines="50" w:after="0" w:afterLines="50" w:line="500" w:lineRule="exact"/>
        <w:ind w:firstLine="210" w:firstLineChars="100"/>
        <w:jc w:val="left"/>
        <w:rPr>
          <w:b/>
          <w:bCs/>
          <w:color w:val="auto"/>
          <w:highlight w:val="none"/>
        </w:rPr>
      </w:pPr>
      <w:r>
        <w:rPr>
          <w:bCs/>
          <w:szCs w:val="21"/>
        </w:rPr>
        <w:t>5.2</w:t>
      </w:r>
      <w:r>
        <w:rPr>
          <w:rFonts w:hint="eastAsia"/>
          <w:bCs/>
          <w:szCs w:val="21"/>
        </w:rPr>
        <w:t>参选文件递交的地点</w:t>
      </w:r>
      <w:r>
        <w:rPr>
          <w:bCs/>
          <w:szCs w:val="21"/>
        </w:rPr>
        <w:t>：</w:t>
      </w:r>
      <w:permStart w:id="2" w:edGrp="everyone"/>
      <w:r>
        <w:rPr>
          <w:rFonts w:hint="eastAsia"/>
          <w:bCs/>
          <w:szCs w:val="21"/>
        </w:rPr>
        <w:t>浙江省</w:t>
      </w:r>
      <w:r>
        <w:rPr>
          <w:rFonts w:hint="eastAsia"/>
          <w:szCs w:val="21"/>
        </w:rPr>
        <w:t>嘉兴市南湖区城北路和恬园路交叉口金地悦峰里1号楼二楼。</w:t>
      </w:r>
      <w:permEnd w:id="2"/>
      <w:r>
        <w:rPr>
          <w:rFonts w:hint="eastAsia"/>
          <w:b/>
          <w:bCs/>
          <w:color w:val="auto"/>
          <w:highlight w:val="none"/>
          <w:lang w:val="en-US" w:eastAsia="zh-CN"/>
        </w:rPr>
        <w:t>6.</w:t>
      </w:r>
      <w:r>
        <w:rPr>
          <w:b/>
          <w:bCs/>
          <w:color w:val="auto"/>
          <w:highlight w:val="none"/>
        </w:rPr>
        <w:t>发布公告的媒介</w:t>
      </w:r>
    </w:p>
    <w:p w14:paraId="48DB6175">
      <w:pPr>
        <w:ind w:firstLine="420" w:firstLineChars="200"/>
        <w:rPr>
          <w:bCs/>
        </w:rPr>
      </w:pPr>
      <w:r>
        <w:rPr>
          <w:rFonts w:hint="eastAsia"/>
          <w:bCs/>
        </w:rPr>
        <w:t>本次比选公告及澄清答疑在安徽省高速地产集团有限公司网www.gsdcgroup.com发布。</w:t>
      </w:r>
    </w:p>
    <w:p w14:paraId="1B98A152">
      <w:pPr>
        <w:widowControl/>
        <w:tabs>
          <w:tab w:val="left" w:pos="360"/>
        </w:tabs>
        <w:spacing w:before="120" w:beforeLines="50" w:after="120" w:afterLines="50" w:line="500" w:lineRule="exact"/>
        <w:jc w:val="left"/>
        <w:rPr>
          <w:b/>
          <w:bCs/>
          <w:color w:val="auto"/>
          <w:highlight w:val="none"/>
        </w:rPr>
      </w:pPr>
      <w:r>
        <w:rPr>
          <w:b/>
          <w:bCs/>
          <w:color w:val="auto"/>
          <w:highlight w:val="none"/>
        </w:rPr>
        <w:t>7．联系方式</w:t>
      </w:r>
    </w:p>
    <w:p w14:paraId="1C7ABDB8">
      <w:pPr>
        <w:topLinePunct/>
        <w:spacing w:line="400" w:lineRule="exact"/>
        <w:ind w:firstLine="420" w:firstLineChars="200"/>
        <w:rPr>
          <w:szCs w:val="21"/>
        </w:rPr>
      </w:pPr>
      <w:r>
        <w:rPr>
          <w:rFonts w:hint="eastAsia"/>
          <w:szCs w:val="21"/>
        </w:rPr>
        <w:t>比选</w:t>
      </w:r>
      <w:r>
        <w:rPr>
          <w:szCs w:val="21"/>
        </w:rPr>
        <w:t>人：</w:t>
      </w:r>
      <w:permStart w:id="3" w:edGrp="everyone"/>
      <w:r>
        <w:rPr>
          <w:rFonts w:hint="eastAsia"/>
          <w:szCs w:val="21"/>
        </w:rPr>
        <w:t>嘉兴市交控安高房地产开发有限公司</w:t>
      </w:r>
    </w:p>
    <w:permEnd w:id="3"/>
    <w:p w14:paraId="38F6E1A6">
      <w:pPr>
        <w:topLinePunct/>
        <w:spacing w:line="400" w:lineRule="exact"/>
        <w:ind w:left="420" w:leftChars="200"/>
        <w:rPr>
          <w:szCs w:val="21"/>
        </w:rPr>
      </w:pPr>
      <w:r>
        <w:rPr>
          <w:szCs w:val="21"/>
        </w:rPr>
        <w:t>地址：</w:t>
      </w:r>
      <w:permStart w:id="4" w:edGrp="everyone"/>
      <w:r>
        <w:rPr>
          <w:rFonts w:hint="eastAsia"/>
          <w:bCs/>
          <w:szCs w:val="21"/>
        </w:rPr>
        <w:t>浙江省</w:t>
      </w:r>
      <w:r>
        <w:rPr>
          <w:rFonts w:hint="eastAsia"/>
          <w:szCs w:val="21"/>
        </w:rPr>
        <w:t>嘉兴市南湖区城北路和恬园路交叉口</w:t>
      </w:r>
    </w:p>
    <w:permEnd w:id="4"/>
    <w:p w14:paraId="016F77C4">
      <w:pPr>
        <w:topLinePunct/>
        <w:spacing w:line="360" w:lineRule="auto"/>
        <w:ind w:firstLine="420" w:firstLineChars="200"/>
        <w:rPr>
          <w:szCs w:val="21"/>
          <w:u w:val="single"/>
        </w:rPr>
      </w:pPr>
      <w:r>
        <w:rPr>
          <w:szCs w:val="21"/>
        </w:rPr>
        <w:t>联系人：</w:t>
      </w:r>
      <w:permStart w:id="5" w:edGrp="everyone"/>
      <w:r>
        <w:rPr>
          <w:rFonts w:hint="eastAsia"/>
          <w:bCs/>
          <w:szCs w:val="21"/>
          <w:u w:val="single"/>
        </w:rPr>
        <w:t>【牛工】</w:t>
      </w:r>
    </w:p>
    <w:permEnd w:id="5"/>
    <w:p w14:paraId="5444AB6C">
      <w:pPr>
        <w:topLinePunct/>
        <w:spacing w:line="360" w:lineRule="auto"/>
        <w:ind w:firstLine="420" w:firstLineChars="200"/>
        <w:rPr>
          <w:szCs w:val="21"/>
        </w:rPr>
      </w:pPr>
      <w:r>
        <w:rPr>
          <w:szCs w:val="21"/>
        </w:rPr>
        <w:t>电话：</w:t>
      </w:r>
      <w:permStart w:id="6" w:edGrp="everyone"/>
      <w:r>
        <w:rPr>
          <w:rFonts w:hint="eastAsia"/>
          <w:szCs w:val="21"/>
          <w:u w:val="single"/>
        </w:rPr>
        <w:t>【18358311417】</w:t>
      </w:r>
    </w:p>
    <w:p w14:paraId="3A600A82">
      <w:pPr>
        <w:topLinePunct/>
        <w:spacing w:line="360" w:lineRule="auto"/>
        <w:ind w:firstLine="420" w:firstLineChars="200"/>
        <w:rPr>
          <w:szCs w:val="21"/>
        </w:rPr>
      </w:pPr>
      <w:r>
        <w:rPr>
          <w:szCs w:val="21"/>
        </w:rPr>
        <w:t>传真：</w:t>
      </w:r>
      <w:r>
        <w:rPr>
          <w:rFonts w:hint="eastAsia"/>
          <w:szCs w:val="21"/>
          <w:u w:val="single"/>
        </w:rPr>
        <w:t>【/】</w:t>
      </w:r>
    </w:p>
    <w:p w14:paraId="1362FFD6">
      <w:pPr>
        <w:topLinePunct/>
        <w:spacing w:line="360" w:lineRule="auto"/>
        <w:ind w:firstLine="420" w:firstLineChars="200"/>
        <w:rPr>
          <w:szCs w:val="21"/>
        </w:rPr>
      </w:pPr>
      <w:r>
        <w:rPr>
          <w:szCs w:val="21"/>
        </w:rPr>
        <w:t>电子邮件：</w:t>
      </w:r>
      <w:r>
        <w:rPr>
          <w:rFonts w:hint="eastAsia"/>
          <w:szCs w:val="21"/>
          <w:u w:val="single"/>
        </w:rPr>
        <w:t>【996188378</w:t>
      </w:r>
      <w:r>
        <w:rPr>
          <w:szCs w:val="21"/>
          <w:u w:val="single"/>
        </w:rPr>
        <w:t>@qq.com</w:t>
      </w:r>
      <w:r>
        <w:rPr>
          <w:rFonts w:hint="eastAsia"/>
          <w:szCs w:val="21"/>
          <w:u w:val="single"/>
        </w:rPr>
        <w:t>】</w:t>
      </w:r>
    </w:p>
    <w:permEnd w:id="6"/>
    <w:p w14:paraId="6A95C360">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xMWVmMmJmOWUwMmUxMGRlNDY4MDQzZTk2ZDA0YzYifQ=="/>
  </w:docVars>
  <w:rsids>
    <w:rsidRoot w:val="57BD785A"/>
    <w:rsid w:val="57BD7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样式 首行缩进:  2 字符"/>
    <w:basedOn w:val="1"/>
    <w:autoRedefine/>
    <w:qFormat/>
    <w:uiPriority w:val="0"/>
    <w:pPr>
      <w:spacing w:line="480" w:lineRule="exact"/>
      <w:ind w:firstLine="200" w:firstLineChars="200"/>
      <w:jc w:val="left"/>
    </w:pPr>
    <w:rPr>
      <w:rFonts w:eastAsia="宋体"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2024-07-02T06:42:00Z</dcterms:created>
  <dc:creator>Hello-Mr刘</dc:creator>
  <cp:lastModifiedBy>Hello-Mr刘</cp:lastModifiedBy>
  <dcterms:modified xsi:type="dcterms:W3CDTF">2024-07-02T06:43:27Z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F10F40D2EA5E41928FEC6361EEE71A67_11</vt:lpwstr>
  </property>
</Properties>
</file>