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_GB2312" w:eastAsia="仿宋_GB2312"/>
          <w:b/>
          <w:sz w:val="32"/>
          <w:szCs w:val="32"/>
        </w:rPr>
      </w:pPr>
      <w:bookmarkStart w:id="2" w:name="_GoBack"/>
      <w:bookmarkEnd w:id="2"/>
      <w:r>
        <w:rPr>
          <w:rFonts w:hint="eastAsia" w:ascii="仿宋_GB2312" w:eastAsia="仿宋_GB2312"/>
          <w:b/>
          <w:sz w:val="32"/>
          <w:szCs w:val="32"/>
        </w:rPr>
        <w:t>工程量清单编制说明</w:t>
      </w:r>
    </w:p>
    <w:p>
      <w:pPr>
        <w:spacing w:before="156" w:beforeLines="50" w:line="360" w:lineRule="auto"/>
        <w:rPr>
          <w:rFonts w:hint="eastAsia"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一、工程概况</w:t>
      </w:r>
    </w:p>
    <w:p>
      <w:pPr>
        <w:autoSpaceDE w:val="0"/>
        <w:autoSpaceDN w:val="0"/>
        <w:adjustRightInd w:val="0"/>
        <w:spacing w:line="360" w:lineRule="auto"/>
        <w:ind w:firstLine="480" w:firstLineChars="200"/>
        <w:jc w:val="left"/>
        <w:rPr>
          <w:rFonts w:hint="default" w:ascii="仿宋" w:hAnsi="仿宋" w:eastAsia="仿宋" w:cs="仿宋"/>
          <w:color w:val="000000" w:themeColor="text1"/>
          <w:sz w:val="24"/>
          <w:lang w:val="en-US" w:eastAsia="zh-CN"/>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1、工程名称：</w:t>
      </w:r>
      <w:r>
        <w:rPr>
          <w:rFonts w:hint="eastAsia" w:ascii="仿宋_GB2312" w:eastAsia="仿宋_GB2312"/>
          <w:sz w:val="24"/>
        </w:rPr>
        <w:t>朝阳区大屯地区0205-659地块项目燃气切改线工程</w:t>
      </w:r>
    </w:p>
    <w:p>
      <w:pPr>
        <w:autoSpaceDE w:val="0"/>
        <w:autoSpaceDN w:val="0"/>
        <w:adjustRightInd w:val="0"/>
        <w:spacing w:line="360" w:lineRule="auto"/>
        <w:ind w:firstLine="480" w:firstLineChars="200"/>
        <w:jc w:val="left"/>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2、建设地点：北京市朝阳区</w:t>
      </w:r>
    </w:p>
    <w:p>
      <w:pPr>
        <w:spacing w:line="360" w:lineRule="auto"/>
        <w:ind w:right="-57" w:rightChars="-27" w:firstLine="480" w:firstLineChars="2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3、工程范围：</w:t>
      </w:r>
      <w:bookmarkStart w:id="0" w:name="_Hlk155869412"/>
      <w:r>
        <w:rPr>
          <w:rFonts w:hint="eastAsia" w:ascii="仿宋" w:hAnsi="仿宋" w:eastAsia="仿宋" w:cs="仿宋"/>
          <w:color w:val="000000" w:themeColor="text1"/>
          <w:sz w:val="24"/>
          <w14:textFill>
            <w14:solidFill>
              <w14:schemeClr w14:val="tx1"/>
            </w14:solidFill>
          </w14:textFill>
        </w:rPr>
        <w:t>包括但不限于燃气管线切改报装手续办理；原路面破除及恢复；沟槽开挖回填、工作坑、保护井施工；新建管线及阀门管件安装，原燃气管线和新建管线切接，电保护、无损检测、管线测量、防腐检测、代缴燃气公司切接费；管线防腐等工作内容</w:t>
      </w:r>
      <w:r>
        <w:rPr>
          <w:rFonts w:hint="eastAsia" w:ascii="仿宋" w:hAnsi="仿宋" w:eastAsia="仿宋" w:cs="仿宋"/>
          <w:color w:val="000000" w:themeColor="text1"/>
          <w:sz w:val="24"/>
          <w:lang w:eastAsia="zh-CN"/>
          <w14:textFill>
            <w14:solidFill>
              <w14:schemeClr w14:val="tx1"/>
            </w14:solidFill>
          </w14:textFill>
        </w:rPr>
        <w:t>。</w:t>
      </w:r>
      <w:r>
        <w:rPr>
          <w:rFonts w:hint="eastAsia" w:ascii="仿宋" w:hAnsi="仿宋" w:eastAsia="仿宋" w:cs="仿宋"/>
          <w:color w:val="000000" w:themeColor="text1"/>
          <w:sz w:val="24"/>
          <w14:textFill>
            <w14:solidFill>
              <w14:schemeClr w14:val="tx1"/>
            </w14:solidFill>
          </w14:textFill>
        </w:rPr>
        <w:t xml:space="preserve"> </w:t>
      </w:r>
    </w:p>
    <w:bookmarkEnd w:id="0"/>
    <w:p>
      <w:pPr>
        <w:spacing w:line="360" w:lineRule="auto"/>
        <w:rPr>
          <w:rFonts w:hint="eastAsia"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二、编制依据：</w:t>
      </w:r>
    </w:p>
    <w:p>
      <w:pPr>
        <w:spacing w:line="360" w:lineRule="auto"/>
        <w:ind w:firstLine="480" w:firstLineChars="2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1、《建设工程工程量清单计价规范》（GB50500-2013）、2021年《北京市建设工程计价依据---预算消耗量标准》</w:t>
      </w:r>
    </w:p>
    <w:p>
      <w:pPr>
        <w:spacing w:line="360" w:lineRule="auto"/>
        <w:ind w:firstLine="480" w:firstLineChars="2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2、京建发〔2019〕141号《关于重新调整北京市建设工程计价依据增值税税率的通知》；</w:t>
      </w:r>
    </w:p>
    <w:p>
      <w:pPr>
        <w:spacing w:line="360" w:lineRule="auto"/>
        <w:ind w:firstLine="480" w:firstLineChars="2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3、京建法〔2019〕9号[北京市住建委]关于印发《北京市建设工程安全文明施工费管理办法（试行）》的通知；</w:t>
      </w:r>
    </w:p>
    <w:p>
      <w:pPr>
        <w:spacing w:line="360" w:lineRule="auto"/>
        <w:ind w:firstLine="480" w:firstLineChars="2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4、京建发〔2021〕404号北京市住房和城乡建设委员会关于印发配套2021年《预算消耗定额》计价的安全文明施工费等费用标准的通知；</w:t>
      </w:r>
    </w:p>
    <w:p>
      <w:pPr>
        <w:spacing w:line="360" w:lineRule="auto"/>
        <w:ind w:firstLine="480" w:firstLineChars="2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5、</w:t>
      </w:r>
      <w:bookmarkStart w:id="1" w:name="_Hlk155869383"/>
      <w:r>
        <w:rPr>
          <w:rFonts w:hint="eastAsia" w:ascii="仿宋" w:hAnsi="仿宋" w:eastAsia="仿宋" w:cs="仿宋"/>
          <w:color w:val="000000" w:themeColor="text1"/>
          <w:sz w:val="24"/>
          <w14:textFill>
            <w14:solidFill>
              <w14:schemeClr w14:val="tx1"/>
            </w14:solidFill>
          </w14:textFill>
        </w:rPr>
        <w:t>建设单位提供的电子版图纸</w:t>
      </w:r>
      <w:bookmarkEnd w:id="1"/>
      <w:r>
        <w:rPr>
          <w:rFonts w:hint="eastAsia" w:ascii="仿宋" w:hAnsi="仿宋" w:eastAsia="仿宋" w:cs="仿宋"/>
          <w:color w:val="000000" w:themeColor="text1"/>
          <w:sz w:val="24"/>
          <w14:textFill>
            <w14:solidFill>
              <w14:schemeClr w14:val="tx1"/>
            </w14:solidFill>
          </w14:textFill>
        </w:rPr>
        <w:t>；</w:t>
      </w:r>
    </w:p>
    <w:p>
      <w:pPr>
        <w:spacing w:line="360" w:lineRule="auto"/>
        <w:ind w:firstLine="480" w:firstLineChars="200"/>
        <w:rPr>
          <w:rFonts w:hint="default" w:ascii="仿宋" w:hAnsi="仿宋" w:eastAsia="仿宋" w:cs="仿宋"/>
          <w:color w:val="000000" w:themeColor="text1"/>
          <w:sz w:val="24"/>
          <w:lang w:val="en-US" w:eastAsia="zh-CN"/>
          <w14:textFill>
            <w14:solidFill>
              <w14:schemeClr w14:val="tx1"/>
            </w14:solidFill>
          </w14:textFill>
        </w:rPr>
      </w:pPr>
      <w:r>
        <w:rPr>
          <w:rFonts w:hint="eastAsia" w:ascii="仿宋" w:hAnsi="仿宋" w:eastAsia="仿宋" w:cs="仿宋"/>
          <w:color w:val="000000" w:themeColor="text1"/>
          <w:sz w:val="24"/>
          <w:lang w:val="en-US" w:eastAsia="zh-CN"/>
          <w14:textFill>
            <w14:solidFill>
              <w14:schemeClr w14:val="tx1"/>
            </w14:solidFill>
          </w14:textFill>
        </w:rPr>
        <w:t>6、国家发展改革委等部门《关于清理规范城镇供水供电供气供暖行业收费促进行业高质量发展的意见》；</w:t>
      </w:r>
    </w:p>
    <w:p>
      <w:pPr>
        <w:spacing w:line="360" w:lineRule="auto"/>
        <w:ind w:firstLine="480" w:firstLineChars="20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lang w:val="en-US" w:eastAsia="zh-CN"/>
          <w14:textFill>
            <w14:solidFill>
              <w14:schemeClr w14:val="tx1"/>
            </w14:solidFill>
          </w14:textFill>
        </w:rPr>
        <w:t>7</w:t>
      </w:r>
      <w:r>
        <w:rPr>
          <w:rFonts w:hint="eastAsia" w:ascii="仿宋" w:hAnsi="仿宋" w:eastAsia="仿宋" w:cs="仿宋"/>
          <w:color w:val="000000" w:themeColor="text1"/>
          <w:sz w:val="24"/>
          <w14:textFill>
            <w14:solidFill>
              <w14:schemeClr w14:val="tx1"/>
            </w14:solidFill>
          </w14:textFill>
        </w:rPr>
        <w:t>、其他相关法律。</w:t>
      </w:r>
    </w:p>
    <w:p>
      <w:pPr>
        <w:spacing w:line="360" w:lineRule="auto"/>
        <w:rPr>
          <w:rFonts w:hint="eastAsia"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三、其他需要说明事项</w:t>
      </w:r>
    </w:p>
    <w:p>
      <w:pPr>
        <w:spacing w:line="360" w:lineRule="auto"/>
        <w:ind w:firstLine="480" w:firstLineChars="200"/>
        <w:rPr>
          <w:rFonts w:hint="eastAsia" w:ascii="仿宋" w:hAnsi="仿宋" w:eastAsia="仿宋" w:cs="仿宋"/>
          <w:color w:val="000000" w:themeColor="text1"/>
          <w:sz w:val="24"/>
          <w:lang w:eastAsia="zh-CN"/>
          <w14:textFill>
            <w14:solidFill>
              <w14:schemeClr w14:val="tx1"/>
            </w14:solidFill>
          </w14:textFill>
        </w:rPr>
      </w:pPr>
      <w:r>
        <w:rPr>
          <w:rFonts w:hint="eastAsia" w:ascii="仿宋" w:hAnsi="仿宋" w:eastAsia="仿宋" w:cs="仿宋"/>
          <w:color w:val="000000" w:themeColor="text1"/>
          <w:sz w:val="24"/>
          <w:lang w:val="en-US" w:eastAsia="zh-CN"/>
          <w14:textFill>
            <w14:solidFill>
              <w14:schemeClr w14:val="tx1"/>
            </w14:solidFill>
          </w14:textFill>
        </w:rPr>
        <w:t>1</w:t>
      </w:r>
      <w:r>
        <w:rPr>
          <w:rFonts w:hint="eastAsia" w:ascii="仿宋" w:hAnsi="仿宋" w:eastAsia="仿宋" w:cs="仿宋"/>
          <w:color w:val="000000" w:themeColor="text1"/>
          <w:sz w:val="24"/>
          <w14:textFill>
            <w14:solidFill>
              <w14:schemeClr w14:val="tx1"/>
            </w14:solidFill>
          </w14:textFill>
        </w:rPr>
        <w:t>、</w:t>
      </w:r>
      <w:r>
        <w:rPr>
          <w:rFonts w:hint="eastAsia" w:ascii="仿宋" w:hAnsi="仿宋" w:eastAsia="仿宋" w:cs="仿宋"/>
          <w:color w:val="000000" w:themeColor="text1"/>
          <w:sz w:val="24"/>
          <w:lang w:val="en-US" w:eastAsia="zh-CN"/>
          <w14:textFill>
            <w14:solidFill>
              <w14:schemeClr w14:val="tx1"/>
            </w14:solidFill>
          </w14:textFill>
        </w:rPr>
        <w:t>红线内的</w:t>
      </w:r>
      <w:r>
        <w:rPr>
          <w:rFonts w:hint="eastAsia" w:ascii="仿宋" w:hAnsi="仿宋" w:eastAsia="仿宋" w:cs="仿宋"/>
          <w:color w:val="000000" w:themeColor="text1"/>
          <w:sz w:val="24"/>
          <w14:textFill>
            <w14:solidFill>
              <w14:schemeClr w14:val="tx1"/>
            </w14:solidFill>
          </w14:textFill>
        </w:rPr>
        <w:t>路面拆除</w:t>
      </w:r>
      <w:r>
        <w:rPr>
          <w:rFonts w:hint="eastAsia" w:ascii="仿宋" w:hAnsi="仿宋" w:eastAsia="仿宋" w:cs="仿宋"/>
          <w:color w:val="000000" w:themeColor="text1"/>
          <w:sz w:val="24"/>
          <w:lang w:val="en-US" w:eastAsia="zh-CN"/>
          <w14:textFill>
            <w14:solidFill>
              <w14:schemeClr w14:val="tx1"/>
            </w14:solidFill>
          </w14:textFill>
        </w:rPr>
        <w:t>后</w:t>
      </w:r>
      <w:r>
        <w:rPr>
          <w:rFonts w:hint="eastAsia" w:ascii="仿宋" w:hAnsi="仿宋" w:eastAsia="仿宋" w:cs="仿宋"/>
          <w:color w:val="000000" w:themeColor="text1"/>
          <w:sz w:val="24"/>
          <w14:textFill>
            <w14:solidFill>
              <w14:schemeClr w14:val="tx1"/>
            </w14:solidFill>
          </w14:textFill>
        </w:rPr>
        <w:t>不需考虑恢复，</w:t>
      </w:r>
      <w:r>
        <w:rPr>
          <w:rFonts w:hint="eastAsia" w:ascii="仿宋" w:hAnsi="仿宋" w:eastAsia="仿宋" w:cs="仿宋"/>
          <w:color w:val="000000" w:themeColor="text1"/>
          <w:sz w:val="24"/>
          <w:lang w:val="en-US" w:eastAsia="zh-CN"/>
          <w14:textFill>
            <w14:solidFill>
              <w14:schemeClr w14:val="tx1"/>
            </w14:solidFill>
          </w14:textFill>
        </w:rPr>
        <w:t>土方回填至现有路面标高，红线外的路面拆除后恢复，水泥路面做法依据答疑文件，人行道路面按总厚度25cm计算</w:t>
      </w:r>
      <w:r>
        <w:rPr>
          <w:rFonts w:hint="eastAsia" w:ascii="仿宋" w:hAnsi="仿宋" w:eastAsia="仿宋" w:cs="仿宋"/>
          <w:color w:val="000000" w:themeColor="text1"/>
          <w:sz w:val="24"/>
          <w:lang w:eastAsia="zh-CN"/>
          <w14:textFill>
            <w14:solidFill>
              <w14:schemeClr w14:val="tx1"/>
            </w14:solidFill>
          </w14:textFill>
        </w:rPr>
        <w:t>。</w:t>
      </w:r>
    </w:p>
    <w:p>
      <w:pPr>
        <w:spacing w:line="360" w:lineRule="auto"/>
        <w:ind w:firstLine="480" w:firstLineChars="200"/>
        <w:rPr>
          <w:rFonts w:hint="eastAsia" w:ascii="仿宋" w:hAnsi="仿宋" w:eastAsia="仿宋" w:cs="仿宋"/>
          <w:color w:val="000000" w:themeColor="text1"/>
          <w:sz w:val="24"/>
          <w:lang w:val="en-US" w:eastAsia="zh-CN"/>
          <w14:textFill>
            <w14:solidFill>
              <w14:schemeClr w14:val="tx1"/>
            </w14:solidFill>
          </w14:textFill>
        </w:rPr>
      </w:pPr>
      <w:r>
        <w:rPr>
          <w:rFonts w:hint="eastAsia" w:ascii="仿宋" w:hAnsi="仿宋" w:eastAsia="仿宋" w:cs="仿宋"/>
          <w:color w:val="000000" w:themeColor="text1"/>
          <w:sz w:val="24"/>
          <w:lang w:val="en-US" w:eastAsia="zh-CN"/>
          <w14:textFill>
            <w14:solidFill>
              <w14:schemeClr w14:val="tx1"/>
            </w14:solidFill>
          </w14:textFill>
        </w:rPr>
        <w:t>2、破建构筑物基础按无钢筋素混凝土厚度50cm计入。</w:t>
      </w:r>
    </w:p>
    <w:p>
      <w:pPr>
        <w:spacing w:line="360" w:lineRule="auto"/>
        <w:ind w:firstLine="480" w:firstLineChars="200"/>
        <w:rPr>
          <w:rFonts w:hint="eastAsia" w:ascii="仿宋" w:hAnsi="仿宋" w:eastAsia="仿宋" w:cs="仿宋"/>
          <w:color w:val="000000" w:themeColor="text1"/>
          <w:sz w:val="24"/>
          <w:lang w:val="en-US" w:eastAsia="zh-CN"/>
          <w14:textFill>
            <w14:solidFill>
              <w14:schemeClr w14:val="tx1"/>
            </w14:solidFill>
          </w14:textFill>
        </w:rPr>
      </w:pPr>
      <w:r>
        <w:rPr>
          <w:rFonts w:hint="eastAsia" w:ascii="仿宋" w:hAnsi="仿宋" w:eastAsia="仿宋" w:cs="仿宋"/>
          <w:color w:val="000000" w:themeColor="text1"/>
          <w:sz w:val="24"/>
          <w:lang w:val="en-US" w:eastAsia="zh-CN"/>
          <w14:textFill>
            <w14:solidFill>
              <w14:schemeClr w14:val="tx1"/>
            </w14:solidFill>
          </w14:textFill>
        </w:rPr>
        <w:t>3、根据设计要求，接线保护井做法参考91SB8 P43中压凝水器做法。</w:t>
      </w:r>
    </w:p>
    <w:p>
      <w:pPr>
        <w:spacing w:line="360" w:lineRule="auto"/>
        <w:ind w:firstLine="480" w:firstLineChars="200"/>
        <w:rPr>
          <w:rFonts w:hint="eastAsia" w:ascii="仿宋" w:hAnsi="仿宋" w:eastAsia="仿宋" w:cs="仿宋"/>
          <w:color w:val="000000" w:themeColor="text1"/>
          <w:sz w:val="24"/>
          <w:lang w:val="en-US" w:eastAsia="zh-CN"/>
          <w14:textFill>
            <w14:solidFill>
              <w14:schemeClr w14:val="tx1"/>
            </w14:solidFill>
          </w14:textFill>
        </w:rPr>
      </w:pPr>
      <w:r>
        <w:rPr>
          <w:rFonts w:hint="eastAsia" w:ascii="仿宋" w:hAnsi="仿宋" w:eastAsia="仿宋" w:cs="仿宋"/>
          <w:color w:val="000000" w:themeColor="text1"/>
          <w:sz w:val="24"/>
          <w:lang w:val="en-US" w:eastAsia="zh-CN"/>
          <w14:textFill>
            <w14:solidFill>
              <w14:schemeClr w14:val="tx1"/>
            </w14:solidFill>
          </w14:textFill>
        </w:rPr>
        <w:t>4、拆除部分“破水泥路面”路面面层厚度按30cm计入。</w:t>
      </w:r>
    </w:p>
    <w:p>
      <w:pPr>
        <w:spacing w:line="360" w:lineRule="auto"/>
        <w:ind w:firstLine="480" w:firstLineChars="200"/>
        <w:rPr>
          <w:rFonts w:hint="eastAsia" w:ascii="仿宋" w:hAnsi="仿宋" w:eastAsia="仿宋" w:cs="仿宋"/>
          <w:color w:val="000000" w:themeColor="text1"/>
          <w:sz w:val="24"/>
          <w:lang w:val="en-US" w:eastAsia="zh-CN"/>
          <w14:textFill>
            <w14:solidFill>
              <w14:schemeClr w14:val="tx1"/>
            </w14:solidFill>
          </w14:textFill>
        </w:rPr>
      </w:pPr>
      <w:r>
        <w:rPr>
          <w:rFonts w:hint="eastAsia" w:ascii="仿宋" w:hAnsi="仿宋" w:eastAsia="仿宋" w:cs="仿宋"/>
          <w:color w:val="000000" w:themeColor="text1"/>
          <w:sz w:val="24"/>
          <w:lang w:val="en-US" w:eastAsia="zh-CN"/>
          <w14:textFill>
            <w14:solidFill>
              <w14:schemeClr w14:val="tx1"/>
            </w14:solidFill>
          </w14:textFill>
        </w:rPr>
        <w:t>5、清单项“便桥”为考虑临时道路铺设，施工过程中根据具体方案进行调整。</w:t>
      </w:r>
    </w:p>
    <w:p>
      <w:pPr>
        <w:spacing w:line="360" w:lineRule="auto"/>
        <w:ind w:firstLine="480" w:firstLineChars="200"/>
        <w:rPr>
          <w:rFonts w:hint="default" w:ascii="仿宋" w:hAnsi="仿宋" w:eastAsia="仿宋" w:cs="仿宋"/>
          <w:color w:val="000000" w:themeColor="text1"/>
          <w:sz w:val="24"/>
          <w:lang w:val="en-US" w:eastAsia="zh-CN"/>
          <w14:textFill>
            <w14:solidFill>
              <w14:schemeClr w14:val="tx1"/>
            </w14:solidFill>
          </w14:textFill>
        </w:rPr>
      </w:pPr>
      <w:r>
        <w:rPr>
          <w:rFonts w:hint="eastAsia" w:ascii="仿宋_GB2312" w:eastAsia="仿宋_GB2312"/>
          <w:sz w:val="24"/>
          <w:lang w:val="en-US" w:eastAsia="zh-CN"/>
        </w:rPr>
        <w:t>6、燃气管道测绘费和防腐检测费为暂列清单项，竣工时据实结算。</w:t>
      </w:r>
    </w:p>
    <w:p>
      <w:pPr>
        <w:spacing w:line="360" w:lineRule="auto"/>
        <w:ind w:firstLine="480" w:firstLineChars="200"/>
        <w:rPr>
          <w:rFonts w:hint="default" w:ascii="仿宋" w:hAnsi="仿宋" w:eastAsia="仿宋" w:cs="仿宋"/>
          <w:color w:val="000000" w:themeColor="text1"/>
          <w:sz w:val="24"/>
          <w:lang w:val="en-US" w:eastAsia="zh-CN"/>
          <w14:textFill>
            <w14:solidFill>
              <w14:schemeClr w14:val="tx1"/>
            </w14:solidFill>
          </w14:textFill>
        </w:rPr>
      </w:pPr>
    </w:p>
    <w:p>
      <w:pPr>
        <w:pStyle w:val="3"/>
        <w:widowControl/>
        <w:spacing w:beforeAutospacing="0" w:afterAutospacing="0"/>
        <w:ind w:left="479" w:leftChars="228" w:firstLine="480"/>
        <w:rPr>
          <w:rFonts w:ascii="仿宋_GB2312" w:eastAsia="仿宋_GB2312"/>
          <w:kern w:val="2"/>
        </w:rPr>
      </w:pPr>
    </w:p>
    <w:p>
      <w:pPr>
        <w:spacing w:line="360" w:lineRule="auto"/>
        <w:ind w:firstLine="480" w:firstLineChars="200"/>
        <w:rPr>
          <w:rFonts w:ascii="仿宋_GB2312" w:eastAsia="仿宋_GB2312"/>
          <w:sz w:val="24"/>
        </w:rPr>
      </w:pPr>
      <w:r>
        <w:rPr>
          <w:rFonts w:hint="eastAsia" w:ascii="仿宋_GB2312" w:eastAsia="仿宋_GB2312"/>
          <w:sz w:val="24"/>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ZiYTcyNTExYzkwN2U2ZTEyZjYyNDY2MmRkMWNmYzQifQ=="/>
  </w:docVars>
  <w:rsids>
    <w:rsidRoot w:val="406B063D"/>
    <w:rsid w:val="00030E6A"/>
    <w:rsid w:val="0004121E"/>
    <w:rsid w:val="000738A3"/>
    <w:rsid w:val="00077973"/>
    <w:rsid w:val="000B2F71"/>
    <w:rsid w:val="000C57FA"/>
    <w:rsid w:val="000D5207"/>
    <w:rsid w:val="00100841"/>
    <w:rsid w:val="00136070"/>
    <w:rsid w:val="00140F50"/>
    <w:rsid w:val="001961F0"/>
    <w:rsid w:val="00197F4F"/>
    <w:rsid w:val="001A517C"/>
    <w:rsid w:val="001F07C1"/>
    <w:rsid w:val="00201DD8"/>
    <w:rsid w:val="00251E64"/>
    <w:rsid w:val="00252060"/>
    <w:rsid w:val="00295CA6"/>
    <w:rsid w:val="002B069D"/>
    <w:rsid w:val="002C1030"/>
    <w:rsid w:val="003716AC"/>
    <w:rsid w:val="003759C4"/>
    <w:rsid w:val="003A67F4"/>
    <w:rsid w:val="003D526A"/>
    <w:rsid w:val="003F1748"/>
    <w:rsid w:val="00433856"/>
    <w:rsid w:val="0043580A"/>
    <w:rsid w:val="004A76AD"/>
    <w:rsid w:val="004C456E"/>
    <w:rsid w:val="004D2C29"/>
    <w:rsid w:val="00515AE8"/>
    <w:rsid w:val="005477B1"/>
    <w:rsid w:val="0057255A"/>
    <w:rsid w:val="005735F8"/>
    <w:rsid w:val="00574C68"/>
    <w:rsid w:val="005848BE"/>
    <w:rsid w:val="005B2092"/>
    <w:rsid w:val="0063238B"/>
    <w:rsid w:val="006425D9"/>
    <w:rsid w:val="006B25E9"/>
    <w:rsid w:val="006D1A5D"/>
    <w:rsid w:val="006E54F9"/>
    <w:rsid w:val="00704F8D"/>
    <w:rsid w:val="00752837"/>
    <w:rsid w:val="007C0677"/>
    <w:rsid w:val="007F562D"/>
    <w:rsid w:val="007F5796"/>
    <w:rsid w:val="008A4B25"/>
    <w:rsid w:val="00911F00"/>
    <w:rsid w:val="00920DEC"/>
    <w:rsid w:val="009331FE"/>
    <w:rsid w:val="009C1067"/>
    <w:rsid w:val="009C6FBC"/>
    <w:rsid w:val="00A15811"/>
    <w:rsid w:val="00A5183A"/>
    <w:rsid w:val="00A8337D"/>
    <w:rsid w:val="00A964A9"/>
    <w:rsid w:val="00AE7FC3"/>
    <w:rsid w:val="00B13E12"/>
    <w:rsid w:val="00BA3614"/>
    <w:rsid w:val="00BC4D1E"/>
    <w:rsid w:val="00BE1C3B"/>
    <w:rsid w:val="00BF43A3"/>
    <w:rsid w:val="00C10201"/>
    <w:rsid w:val="00C2398F"/>
    <w:rsid w:val="00C57CF9"/>
    <w:rsid w:val="00C9293E"/>
    <w:rsid w:val="00D87DB8"/>
    <w:rsid w:val="00D91A73"/>
    <w:rsid w:val="00DA50AC"/>
    <w:rsid w:val="00DB7A75"/>
    <w:rsid w:val="00DF67FD"/>
    <w:rsid w:val="00E05E6B"/>
    <w:rsid w:val="00E37A37"/>
    <w:rsid w:val="00E50E2C"/>
    <w:rsid w:val="00E75592"/>
    <w:rsid w:val="00F17281"/>
    <w:rsid w:val="00F35477"/>
    <w:rsid w:val="00F84F8A"/>
    <w:rsid w:val="00F90F7A"/>
    <w:rsid w:val="00FE7D5A"/>
    <w:rsid w:val="02602DB9"/>
    <w:rsid w:val="03F133B2"/>
    <w:rsid w:val="05810D93"/>
    <w:rsid w:val="07394B3C"/>
    <w:rsid w:val="0A013EC8"/>
    <w:rsid w:val="0A9764D3"/>
    <w:rsid w:val="0BB80049"/>
    <w:rsid w:val="0C2E4A23"/>
    <w:rsid w:val="0F3D0BE6"/>
    <w:rsid w:val="125D3B8E"/>
    <w:rsid w:val="1B797370"/>
    <w:rsid w:val="225D4EB6"/>
    <w:rsid w:val="2440339C"/>
    <w:rsid w:val="2A0B0AA8"/>
    <w:rsid w:val="2F8077CD"/>
    <w:rsid w:val="32D65D36"/>
    <w:rsid w:val="3A235063"/>
    <w:rsid w:val="3BDF7FE6"/>
    <w:rsid w:val="3DAF48E6"/>
    <w:rsid w:val="3F961920"/>
    <w:rsid w:val="3FAE22F9"/>
    <w:rsid w:val="406B063D"/>
    <w:rsid w:val="41297D82"/>
    <w:rsid w:val="49E8359E"/>
    <w:rsid w:val="59130EEF"/>
    <w:rsid w:val="5A2E41BB"/>
    <w:rsid w:val="6381396F"/>
    <w:rsid w:val="64730CE4"/>
    <w:rsid w:val="6DA97CAD"/>
    <w:rsid w:val="717F5028"/>
    <w:rsid w:val="785B10B1"/>
    <w:rsid w:val="7BC96752"/>
    <w:rsid w:val="7CA050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4"/>
    <w:basedOn w:val="1"/>
    <w:next w:val="1"/>
    <w:autoRedefine/>
    <w:semiHidden/>
    <w:unhideWhenUsed/>
    <w:qFormat/>
    <w:uiPriority w:val="0"/>
    <w:pPr>
      <w:keepNext/>
      <w:keepLines/>
      <w:spacing w:line="360" w:lineRule="auto"/>
      <w:ind w:firstLine="600" w:firstLineChars="200"/>
      <w:outlineLvl w:val="3"/>
    </w:pPr>
    <w:rPr>
      <w:rFonts w:ascii="Arial" w:hAnsi="Arial"/>
      <w:b/>
      <w:sz w:val="24"/>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3">
    <w:name w:val="Normal (Web)"/>
    <w:basedOn w:val="1"/>
    <w:autoRedefine/>
    <w:qFormat/>
    <w:uiPriority w:val="0"/>
    <w:pPr>
      <w:spacing w:beforeAutospacing="1" w:afterAutospacing="1"/>
      <w:jc w:val="left"/>
    </w:pPr>
    <w:rPr>
      <w:kern w:val="0"/>
      <w:sz w:val="24"/>
    </w:rPr>
  </w:style>
  <w:style w:type="character" w:styleId="6">
    <w:name w:val="Strong"/>
    <w:basedOn w:val="5"/>
    <w:autoRedefine/>
    <w:qFormat/>
    <w:uiPriority w:val="0"/>
    <w:rPr>
      <w:b/>
    </w:rPr>
  </w:style>
  <w:style w:type="paragraph" w:styleId="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DoubleOX</Company>
  <Pages>1</Pages>
  <Words>73</Words>
  <Characters>418</Characters>
  <Lines>3</Lines>
  <Paragraphs>1</Paragraphs>
  <TotalTime>0</TotalTime>
  <ScaleCrop>false</ScaleCrop>
  <LinksUpToDate>false</LinksUpToDate>
  <CharactersWithSpaces>490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2020-08-25T07:27:00Z</dcterms:created>
  <dc:creator>wy</dc:creator>
  <cp:lastModifiedBy>瞒天过海</cp:lastModifiedBy>
  <dcterms:modified xsi:type="dcterms:W3CDTF">2024-03-22T00:58:07Z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25EABD21B13946DB93880AA12DD142E1_12</vt:lpwstr>
  </property>
</Properties>
</file>