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Lines="50" w:afterLines="50" w:line="360" w:lineRule="auto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-295275</wp:posOffset>
                </wp:positionH>
                <wp:positionV relativeFrom="paragraph">
                  <wp:posOffset>-550545</wp:posOffset>
                </wp:positionV>
                <wp:extent cx="5953125" cy="447675"/>
                <wp:effectExtent l="0" t="0" r="9525" b="9525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47090" y="363220"/>
                          <a:ext cx="5953125" cy="4476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23.25pt;margin-top:-43.35pt;height:35.25pt;width:468.75pt;z-index:251659264;v-text-anchor:middle;mso-width-relative:page;mso-height-relative:page;" fillcolor="#FFFFFF [3212]" filled="t" stroked="f" coordsize="21600,21600" o:gfxdata="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PTFxObbAAAACwEAAA8AAAAAAAAAAQAgAAAAIgAA&#10;AGRycy9kb3ducmV2LnhtbFBLAQIUABQAAAAIAIdO4kDAoTTgdwIAANcEAAAOAAAAAAAAAAEAIAAA&#10;ACoBAABkcnMvZTJvRG9jLnhtbFBLBQYAAAAABgAGAFkBAAAT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pStyle w:val="36"/>
        <w:spacing w:line="360" w:lineRule="auto"/>
        <w:rPr>
          <w:rFonts w:hint="eastAsia" w:ascii="仿宋" w:hAnsi="仿宋" w:eastAsia="仿宋" w:cs="仿宋"/>
        </w:rPr>
      </w:pPr>
    </w:p>
    <w:p>
      <w:pPr>
        <w:spacing w:line="360" w:lineRule="auto"/>
        <w:rPr>
          <w:rFonts w:hint="eastAsia" w:ascii="仿宋" w:hAnsi="仿宋" w:eastAsia="仿宋" w:cs="仿宋"/>
        </w:rPr>
      </w:pPr>
    </w:p>
    <w:p>
      <w:pPr>
        <w:pStyle w:val="36"/>
        <w:spacing w:beforeLines="50" w:afterLines="50" w:line="360" w:lineRule="auto"/>
        <w:jc w:val="center"/>
        <w:rPr>
          <w:rFonts w:hint="eastAsia" w:ascii="仿宋" w:hAnsi="仿宋" w:eastAsia="仿宋" w:cs="仿宋"/>
          <w:b/>
          <w:bCs/>
          <w:sz w:val="44"/>
          <w:szCs w:val="44"/>
        </w:rPr>
      </w:pPr>
    </w:p>
    <w:p>
      <w:pPr>
        <w:spacing w:line="360" w:lineRule="auto"/>
        <w:rPr>
          <w:rFonts w:hint="eastAsia" w:ascii="仿宋" w:hAnsi="仿宋" w:eastAsia="仿宋" w:cs="仿宋"/>
        </w:rPr>
      </w:pPr>
    </w:p>
    <w:p>
      <w:pPr>
        <w:pStyle w:val="36"/>
        <w:rPr>
          <w:rFonts w:hint="eastAsia" w:ascii="仿宋" w:hAnsi="仿宋" w:eastAsia="仿宋" w:cs="仿宋"/>
        </w:rPr>
      </w:pPr>
    </w:p>
    <w:p>
      <w:pPr>
        <w:pStyle w:val="36"/>
        <w:spacing w:beforeLines="50" w:afterLines="50" w:line="360" w:lineRule="auto"/>
        <w:jc w:val="center"/>
        <w:rPr>
          <w:rFonts w:hint="default" w:ascii="仿宋" w:hAnsi="仿宋" w:eastAsia="仿宋" w:cs="仿宋"/>
          <w:b/>
          <w:bCs/>
          <w:sz w:val="56"/>
          <w:szCs w:val="56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56"/>
          <w:szCs w:val="56"/>
          <w:lang w:val="en-US" w:eastAsia="zh-CN"/>
        </w:rPr>
        <w:t>嘉隐云庭</w:t>
      </w:r>
    </w:p>
    <w:p>
      <w:pPr>
        <w:pStyle w:val="36"/>
        <w:spacing w:beforeLines="50" w:afterLines="50" w:line="360" w:lineRule="auto"/>
        <w:jc w:val="center"/>
        <w:rPr>
          <w:rFonts w:hint="eastAsia" w:ascii="仿宋" w:hAnsi="仿宋" w:eastAsia="仿宋" w:cs="仿宋"/>
          <w:b/>
          <w:bCs/>
          <w:sz w:val="56"/>
          <w:szCs w:val="56"/>
        </w:rPr>
      </w:pPr>
      <w:r>
        <w:rPr>
          <w:rFonts w:hint="eastAsia" w:ascii="仿宋" w:hAnsi="仿宋" w:eastAsia="仿宋" w:cs="仿宋"/>
          <w:b/>
          <w:bCs/>
          <w:sz w:val="56"/>
          <w:szCs w:val="56"/>
        </w:rPr>
        <w:t>垃圾分类</w:t>
      </w:r>
      <w:r>
        <w:rPr>
          <w:rFonts w:hint="eastAsia" w:ascii="仿宋" w:hAnsi="仿宋" w:eastAsia="仿宋" w:cs="仿宋"/>
          <w:b/>
          <w:bCs/>
          <w:sz w:val="56"/>
          <w:szCs w:val="56"/>
          <w:lang w:val="en-US" w:eastAsia="zh-CN"/>
        </w:rPr>
        <w:t>厢房设置</w:t>
      </w:r>
      <w:r>
        <w:rPr>
          <w:rFonts w:hint="eastAsia" w:ascii="仿宋" w:hAnsi="仿宋" w:eastAsia="仿宋" w:cs="仿宋"/>
          <w:b/>
          <w:bCs/>
          <w:sz w:val="56"/>
          <w:szCs w:val="56"/>
        </w:rPr>
        <w:t>方案</w:t>
      </w:r>
    </w:p>
    <w:p>
      <w:pPr>
        <w:pStyle w:val="36"/>
        <w:spacing w:beforeLines="50" w:afterLines="50" w:line="360" w:lineRule="auto"/>
        <w:jc w:val="center"/>
        <w:rPr>
          <w:rFonts w:hint="eastAsia" w:ascii="仿宋" w:hAnsi="仿宋" w:eastAsia="仿宋" w:cs="仿宋"/>
        </w:rPr>
      </w:pPr>
    </w:p>
    <w:p>
      <w:pPr>
        <w:spacing w:beforeLines="50" w:afterLines="50" w:line="360" w:lineRule="auto"/>
        <w:jc w:val="center"/>
        <w:rPr>
          <w:rFonts w:hint="eastAsia" w:ascii="仿宋" w:hAnsi="仿宋" w:eastAsia="仿宋" w:cs="仿宋"/>
        </w:rPr>
      </w:pPr>
    </w:p>
    <w:p>
      <w:pPr>
        <w:pStyle w:val="36"/>
        <w:spacing w:beforeLines="50" w:afterLines="50" w:line="360" w:lineRule="auto"/>
        <w:jc w:val="center"/>
        <w:rPr>
          <w:rFonts w:hint="eastAsia" w:ascii="仿宋" w:hAnsi="仿宋" w:eastAsia="仿宋" w:cs="仿宋"/>
        </w:rPr>
      </w:pPr>
    </w:p>
    <w:p>
      <w:pPr>
        <w:pStyle w:val="36"/>
        <w:spacing w:beforeLines="50" w:afterLines="50" w:line="360" w:lineRule="auto"/>
        <w:jc w:val="both"/>
        <w:rPr>
          <w:rFonts w:hint="eastAsia" w:ascii="仿宋" w:hAnsi="仿宋" w:eastAsia="仿宋" w:cs="仿宋"/>
        </w:rPr>
      </w:pPr>
    </w:p>
    <w:p>
      <w:pPr>
        <w:pStyle w:val="36"/>
        <w:spacing w:beforeLines="50" w:afterLines="50" w:line="360" w:lineRule="auto"/>
        <w:jc w:val="left"/>
        <w:rPr>
          <w:rFonts w:hint="eastAsia" w:ascii="仿宋" w:hAnsi="仿宋" w:eastAsia="仿宋" w:cs="仿宋"/>
          <w:b/>
          <w:bCs/>
          <w:sz w:val="24"/>
          <w:szCs w:val="24"/>
        </w:rPr>
      </w:pPr>
    </w:p>
    <w:p>
      <w:pPr>
        <w:pStyle w:val="36"/>
        <w:spacing w:beforeLines="50" w:afterLines="50" w:line="360" w:lineRule="auto"/>
        <w:jc w:val="left"/>
        <w:rPr>
          <w:rFonts w:hint="eastAsia" w:ascii="仿宋" w:hAnsi="仿宋" w:eastAsia="仿宋" w:cs="仿宋"/>
          <w:b/>
          <w:bCs/>
          <w:sz w:val="24"/>
          <w:szCs w:val="24"/>
        </w:rPr>
      </w:pPr>
    </w:p>
    <w:p>
      <w:pPr>
        <w:pStyle w:val="36"/>
        <w:spacing w:beforeLines="50" w:afterLines="50" w:line="360" w:lineRule="auto"/>
        <w:jc w:val="left"/>
        <w:rPr>
          <w:rFonts w:hint="eastAsia" w:ascii="仿宋" w:hAnsi="仿宋" w:eastAsia="仿宋" w:cs="仿宋"/>
          <w:b/>
          <w:bCs/>
          <w:sz w:val="24"/>
          <w:szCs w:val="24"/>
        </w:rPr>
      </w:pPr>
    </w:p>
    <w:p>
      <w:pPr>
        <w:pStyle w:val="36"/>
        <w:spacing w:beforeLines="50" w:afterLines="50" w:line="360" w:lineRule="auto"/>
        <w:jc w:val="left"/>
        <w:rPr>
          <w:rFonts w:hint="eastAsia" w:ascii="仿宋" w:hAnsi="仿宋" w:eastAsia="仿宋" w:cs="仿宋"/>
          <w:b/>
          <w:bCs/>
          <w:sz w:val="24"/>
          <w:szCs w:val="24"/>
        </w:rPr>
      </w:pPr>
    </w:p>
    <w:p>
      <w:pPr>
        <w:pStyle w:val="36"/>
        <w:spacing w:beforeLines="50" w:afterLines="50" w:line="360" w:lineRule="auto"/>
        <w:jc w:val="left"/>
        <w:rPr>
          <w:rFonts w:hint="default" w:eastAsiaTheme="minorEastAsia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</w:rPr>
        <w:t>企业名称：</w:t>
      </w: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嘉兴市交控安高房地产开发有限公司</w:t>
      </w:r>
    </w:p>
    <w:p>
      <w:pPr>
        <w:pStyle w:val="36"/>
        <w:spacing w:beforeLines="50" w:afterLines="50" w:line="360" w:lineRule="auto"/>
        <w:jc w:val="left"/>
        <w:rPr>
          <w:rFonts w:hint="default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项目</w:t>
      </w:r>
      <w:r>
        <w:rPr>
          <w:rFonts w:hint="eastAsia" w:ascii="仿宋" w:hAnsi="仿宋" w:eastAsia="仿宋" w:cs="仿宋"/>
          <w:b/>
          <w:bCs/>
          <w:sz w:val="24"/>
          <w:szCs w:val="24"/>
        </w:rPr>
        <w:t>地址：</w:t>
      </w: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嘉兴市南湖区三元路城北路交汇处</w:t>
      </w:r>
    </w:p>
    <w:p>
      <w:pPr>
        <w:rPr>
          <w:rFonts w:hint="default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项目名称：交控安高·嘉隐云庭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500" w:lineRule="exact"/>
        <w:ind w:left="0" w:leftChars="0" w:right="0" w:rightChars="0"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kern w:val="2"/>
          <w:sz w:val="28"/>
          <w:szCs w:val="36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500" w:lineRule="exact"/>
        <w:ind w:left="0" w:leftChars="0" w:right="0" w:rightChars="0"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kern w:val="2"/>
          <w:sz w:val="28"/>
          <w:szCs w:val="36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500" w:lineRule="exact"/>
        <w:ind w:left="0" w:leftChars="0" w:right="0" w:rightChars="0"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kern w:val="2"/>
          <w:sz w:val="28"/>
          <w:szCs w:val="36"/>
          <w:lang w:val="en-US" w:eastAsia="zh-CN" w:bidi="ar-SA"/>
        </w:rPr>
      </w:pPr>
    </w:p>
    <w:sdt>
      <w:sdtPr>
        <w:rPr>
          <w:rFonts w:hint="eastAsia" w:ascii="仿宋" w:hAnsi="仿宋" w:eastAsia="仿宋" w:cs="仿宋"/>
          <w:b/>
          <w:bCs/>
          <w:kern w:val="2"/>
          <w:sz w:val="28"/>
          <w:szCs w:val="36"/>
          <w:lang w:val="en-US" w:eastAsia="zh-CN" w:bidi="ar-SA"/>
        </w:rPr>
        <w:id w:val="147454494"/>
        <w15:color w:val="DBDBDB"/>
        <w:docPartObj>
          <w:docPartGallery w:val="Table of Contents"/>
          <w:docPartUnique/>
        </w:docPartObj>
      </w:sdtPr>
      <w:sdtEndPr>
        <w:rPr>
          <w:rFonts w:hint="eastAsia" w:ascii="仿宋" w:hAnsi="仿宋" w:eastAsia="仿宋" w:cs="仿宋"/>
          <w:b/>
          <w:bCs/>
          <w:kern w:val="2"/>
          <w:sz w:val="21"/>
          <w:szCs w:val="24"/>
          <w:lang w:val="en-US" w:eastAsia="zh-CN" w:bidi="ar-SA"/>
        </w:rPr>
      </w:sdtEndPr>
      <w:sdtContent>
        <w:p>
          <w:pPr>
            <w:keepNext w:val="0"/>
            <w:keepLines w:val="0"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beforeLines="0" w:after="0" w:afterLines="0" w:line="500" w:lineRule="exact"/>
            <w:ind w:left="0" w:leftChars="0" w:right="0" w:rightChars="0" w:firstLine="0" w:firstLineChars="0"/>
            <w:jc w:val="center"/>
            <w:textAlignment w:val="auto"/>
            <w:rPr>
              <w:rFonts w:hint="eastAsia" w:ascii="仿宋" w:hAnsi="仿宋" w:eastAsia="仿宋" w:cs="仿宋"/>
              <w:b/>
              <w:bCs/>
              <w:sz w:val="28"/>
              <w:szCs w:val="36"/>
            </w:rPr>
          </w:pPr>
          <w:r>
            <w:rPr>
              <w:rFonts w:hint="eastAsia" w:ascii="仿宋" w:hAnsi="仿宋" w:eastAsia="仿宋" w:cs="仿宋"/>
              <w:b/>
              <w:bCs/>
              <w:sz w:val="28"/>
              <w:szCs w:val="36"/>
            </w:rPr>
            <w:t>目录</w:t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825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80" w:lineRule="auto"/>
            <w:textAlignment w:val="auto"/>
            <w:rPr>
              <w:rFonts w:hint="eastAsia" w:ascii="仿宋" w:hAnsi="仿宋" w:eastAsia="仿宋" w:cs="仿宋"/>
              <w:sz w:val="28"/>
              <w:szCs w:val="36"/>
            </w:rPr>
          </w:pP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TOC \o "1-3" \h \u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HYPERLINK \l _Toc15245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sz w:val="28"/>
              <w:szCs w:val="36"/>
              <w:lang w:val="en-US" w:eastAsia="zh-CN"/>
            </w:rPr>
            <w:t>一、 嘉隐云庭项目简介</w:t>
          </w:r>
          <w:r>
            <w:rPr>
              <w:rFonts w:hint="eastAsia" w:ascii="仿宋" w:hAnsi="仿宋" w:eastAsia="仿宋" w:cs="仿宋"/>
              <w:sz w:val="28"/>
              <w:szCs w:val="36"/>
            </w:rPr>
            <w:tab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PAGEREF _Toc15245 \h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sz w:val="28"/>
              <w:szCs w:val="36"/>
            </w:rPr>
            <w:t>2</w: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</w:p>
        <w:p>
          <w:pPr>
            <w:pStyle w:val="22"/>
            <w:keepNext w:val="0"/>
            <w:keepLines w:val="0"/>
            <w:pageBreakBefore w:val="0"/>
            <w:widowControl w:val="0"/>
            <w:tabs>
              <w:tab w:val="right" w:leader="dot" w:pos="825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80" w:lineRule="auto"/>
            <w:textAlignment w:val="auto"/>
            <w:rPr>
              <w:rFonts w:hint="eastAsia" w:ascii="仿宋" w:hAnsi="仿宋" w:eastAsia="仿宋" w:cs="仿宋"/>
              <w:sz w:val="28"/>
              <w:szCs w:val="36"/>
            </w:rPr>
          </w:pP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HYPERLINK \l _Toc26338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bCs/>
              <w:sz w:val="28"/>
              <w:szCs w:val="48"/>
              <w:lang w:val="en-US" w:eastAsia="zh-CN"/>
            </w:rPr>
            <w:t>（一）小区规模、开发商、物业</w:t>
          </w:r>
          <w:r>
            <w:rPr>
              <w:rFonts w:hint="eastAsia" w:ascii="仿宋" w:hAnsi="仿宋" w:eastAsia="仿宋" w:cs="仿宋"/>
              <w:sz w:val="28"/>
              <w:szCs w:val="36"/>
            </w:rPr>
            <w:tab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PAGEREF _Toc26338 \h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sz w:val="28"/>
              <w:szCs w:val="36"/>
            </w:rPr>
            <w:t>2</w: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825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80" w:lineRule="auto"/>
            <w:textAlignment w:val="auto"/>
            <w:rPr>
              <w:rFonts w:hint="eastAsia" w:ascii="仿宋" w:hAnsi="仿宋" w:eastAsia="仿宋" w:cs="仿宋"/>
              <w:sz w:val="28"/>
              <w:szCs w:val="36"/>
            </w:rPr>
          </w:pP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HYPERLINK \l _Toc21093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sz w:val="28"/>
              <w:szCs w:val="36"/>
              <w:lang w:val="en-US" w:eastAsia="zh-CN"/>
            </w:rPr>
            <w:t>二、 嘉隐云庭垃圾分类项目规划简介</w:t>
          </w:r>
          <w:r>
            <w:rPr>
              <w:rFonts w:hint="eastAsia" w:ascii="仿宋" w:hAnsi="仿宋" w:eastAsia="仿宋" w:cs="仿宋"/>
              <w:sz w:val="28"/>
              <w:szCs w:val="36"/>
            </w:rPr>
            <w:tab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PAGEREF _Toc21093 \h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sz w:val="28"/>
              <w:szCs w:val="36"/>
            </w:rPr>
            <w:t>3</w: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</w:p>
        <w:p>
          <w:pPr>
            <w:pStyle w:val="22"/>
            <w:keepNext w:val="0"/>
            <w:keepLines w:val="0"/>
            <w:pageBreakBefore w:val="0"/>
            <w:widowControl w:val="0"/>
            <w:tabs>
              <w:tab w:val="right" w:leader="dot" w:pos="825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80" w:lineRule="auto"/>
            <w:textAlignment w:val="auto"/>
            <w:rPr>
              <w:rFonts w:hint="eastAsia" w:ascii="仿宋" w:hAnsi="仿宋" w:eastAsia="仿宋" w:cs="仿宋"/>
              <w:sz w:val="28"/>
              <w:szCs w:val="36"/>
            </w:rPr>
          </w:pP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HYPERLINK \l _Toc24327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bCs/>
              <w:sz w:val="28"/>
              <w:szCs w:val="48"/>
              <w:lang w:val="en-US" w:eastAsia="zh-CN"/>
            </w:rPr>
            <w:t>（一）垃圾分类设施规划方案简介</w:t>
          </w:r>
          <w:r>
            <w:rPr>
              <w:rFonts w:hint="eastAsia" w:ascii="仿宋" w:hAnsi="仿宋" w:eastAsia="仿宋" w:cs="仿宋"/>
              <w:sz w:val="28"/>
              <w:szCs w:val="36"/>
            </w:rPr>
            <w:tab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PAGEREF _Toc24327 \h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sz w:val="28"/>
              <w:szCs w:val="36"/>
            </w:rPr>
            <w:t>3</w: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</w:p>
        <w:p>
          <w:pPr>
            <w:pStyle w:val="22"/>
            <w:keepNext w:val="0"/>
            <w:keepLines w:val="0"/>
            <w:pageBreakBefore w:val="0"/>
            <w:widowControl w:val="0"/>
            <w:tabs>
              <w:tab w:val="right" w:leader="dot" w:pos="825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80" w:lineRule="auto"/>
            <w:textAlignment w:val="auto"/>
            <w:rPr>
              <w:rFonts w:hint="eastAsia" w:ascii="仿宋" w:hAnsi="仿宋" w:eastAsia="仿宋" w:cs="仿宋"/>
              <w:sz w:val="28"/>
              <w:szCs w:val="36"/>
            </w:rPr>
          </w:pP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HYPERLINK \l _Toc17556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bCs/>
              <w:sz w:val="28"/>
              <w:szCs w:val="48"/>
              <w:lang w:val="en-US" w:eastAsia="zh-CN"/>
            </w:rPr>
            <w:t>（二）项目厢房点位布置图</w:t>
          </w:r>
          <w:r>
            <w:rPr>
              <w:rFonts w:hint="eastAsia" w:ascii="仿宋" w:hAnsi="仿宋" w:eastAsia="仿宋" w:cs="仿宋"/>
              <w:sz w:val="28"/>
              <w:szCs w:val="36"/>
            </w:rPr>
            <w:tab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PAGEREF _Toc17556 \h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sz w:val="28"/>
              <w:szCs w:val="36"/>
            </w:rPr>
            <w:t>4</w: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</w:p>
        <w:p>
          <w:pPr>
            <w:pStyle w:val="22"/>
            <w:keepNext w:val="0"/>
            <w:keepLines w:val="0"/>
            <w:pageBreakBefore w:val="0"/>
            <w:widowControl w:val="0"/>
            <w:tabs>
              <w:tab w:val="right" w:leader="dot" w:pos="825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80" w:lineRule="auto"/>
            <w:textAlignment w:val="auto"/>
            <w:rPr>
              <w:rFonts w:hint="eastAsia" w:ascii="仿宋" w:hAnsi="仿宋" w:eastAsia="仿宋" w:cs="仿宋"/>
              <w:sz w:val="28"/>
              <w:szCs w:val="36"/>
            </w:rPr>
          </w:pP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HYPERLINK \l _Toc18115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bCs/>
              <w:sz w:val="28"/>
              <w:szCs w:val="48"/>
              <w:lang w:val="en-US" w:eastAsia="zh-CN"/>
            </w:rPr>
            <w:t>（三）地块主要技术指标</w:t>
          </w:r>
          <w:r>
            <w:rPr>
              <w:rFonts w:hint="eastAsia" w:ascii="仿宋" w:hAnsi="仿宋" w:eastAsia="仿宋" w:cs="仿宋"/>
              <w:sz w:val="28"/>
              <w:szCs w:val="36"/>
            </w:rPr>
            <w:tab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PAGEREF _Toc18115 \h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sz w:val="28"/>
              <w:szCs w:val="36"/>
            </w:rPr>
            <w:t>5</w: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</w:p>
        <w:p>
          <w:pPr>
            <w:pStyle w:val="22"/>
            <w:keepNext w:val="0"/>
            <w:keepLines w:val="0"/>
            <w:pageBreakBefore w:val="0"/>
            <w:widowControl w:val="0"/>
            <w:tabs>
              <w:tab w:val="right" w:leader="dot" w:pos="825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80" w:lineRule="auto"/>
            <w:textAlignment w:val="auto"/>
            <w:rPr>
              <w:rFonts w:hint="eastAsia" w:ascii="仿宋" w:hAnsi="仿宋" w:eastAsia="仿宋" w:cs="仿宋"/>
              <w:sz w:val="28"/>
              <w:szCs w:val="36"/>
            </w:rPr>
          </w:pP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HYPERLINK \l _Toc26660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bCs/>
              <w:sz w:val="28"/>
              <w:szCs w:val="48"/>
              <w:lang w:val="en-US" w:eastAsia="zh-CN"/>
            </w:rPr>
            <w:t>（四） 智能垃圾分类厢房 - 效果图/布局图</w:t>
          </w:r>
          <w:r>
            <w:rPr>
              <w:rFonts w:hint="eastAsia" w:ascii="仿宋" w:hAnsi="仿宋" w:eastAsia="仿宋" w:cs="仿宋"/>
              <w:sz w:val="28"/>
              <w:szCs w:val="36"/>
            </w:rPr>
            <w:tab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PAGEREF _Toc26660 \h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sz w:val="28"/>
              <w:szCs w:val="36"/>
            </w:rPr>
            <w:t>6</w: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</w:p>
        <w:p>
          <w:pPr>
            <w:pStyle w:val="22"/>
            <w:keepNext w:val="0"/>
            <w:keepLines w:val="0"/>
            <w:pageBreakBefore w:val="0"/>
            <w:widowControl w:val="0"/>
            <w:tabs>
              <w:tab w:val="right" w:leader="dot" w:pos="825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80" w:lineRule="auto"/>
            <w:textAlignment w:val="auto"/>
            <w:rPr>
              <w:rFonts w:hint="eastAsia" w:ascii="仿宋" w:hAnsi="仿宋" w:eastAsia="仿宋" w:cs="仿宋"/>
              <w:sz w:val="28"/>
              <w:szCs w:val="36"/>
            </w:rPr>
          </w:pP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HYPERLINK \l _Toc24771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bCs/>
              <w:sz w:val="28"/>
              <w:szCs w:val="48"/>
              <w:lang w:val="en-US" w:eastAsia="zh-CN"/>
            </w:rPr>
            <w:t>（五） 智能垃圾分类厢房功能配置</w:t>
          </w:r>
          <w:r>
            <w:rPr>
              <w:rFonts w:hint="eastAsia" w:ascii="仿宋" w:hAnsi="仿宋" w:eastAsia="仿宋" w:cs="仿宋"/>
              <w:sz w:val="28"/>
              <w:szCs w:val="36"/>
            </w:rPr>
            <w:tab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PAGEREF _Toc24771 \h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sz w:val="28"/>
              <w:szCs w:val="36"/>
            </w:rPr>
            <w:t>7</w: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</w:p>
        <w:p>
          <w:pPr>
            <w:pStyle w:val="22"/>
            <w:keepNext w:val="0"/>
            <w:keepLines w:val="0"/>
            <w:pageBreakBefore w:val="0"/>
            <w:widowControl w:val="0"/>
            <w:tabs>
              <w:tab w:val="right" w:leader="dot" w:pos="825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80" w:lineRule="auto"/>
            <w:textAlignment w:val="auto"/>
            <w:rPr>
              <w:rFonts w:hint="eastAsia" w:ascii="仿宋" w:hAnsi="仿宋" w:eastAsia="仿宋" w:cs="仿宋"/>
              <w:sz w:val="28"/>
              <w:szCs w:val="36"/>
            </w:rPr>
          </w:pP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HYPERLINK \l _Toc16446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bCs/>
              <w:sz w:val="28"/>
              <w:szCs w:val="48"/>
              <w:lang w:val="en-US" w:eastAsia="zh-CN"/>
            </w:rPr>
            <w:t>（六）地下室大件垃圾堆放处</w:t>
          </w:r>
          <w:r>
            <w:rPr>
              <w:rFonts w:hint="eastAsia" w:ascii="仿宋" w:hAnsi="仿宋" w:eastAsia="仿宋" w:cs="仿宋"/>
              <w:sz w:val="28"/>
              <w:szCs w:val="36"/>
            </w:rPr>
            <w:tab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PAGEREF _Toc16446 \h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sz w:val="28"/>
              <w:szCs w:val="36"/>
            </w:rPr>
            <w:t>8</w: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</w:p>
        <w:p>
          <w:pPr>
            <w:pStyle w:val="22"/>
            <w:keepNext w:val="0"/>
            <w:keepLines w:val="0"/>
            <w:pageBreakBefore w:val="0"/>
            <w:widowControl w:val="0"/>
            <w:tabs>
              <w:tab w:val="right" w:leader="dot" w:pos="825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80" w:lineRule="auto"/>
            <w:textAlignment w:val="auto"/>
            <w:rPr>
              <w:rFonts w:hint="eastAsia" w:ascii="仿宋" w:hAnsi="仿宋" w:eastAsia="仿宋" w:cs="仿宋"/>
              <w:sz w:val="28"/>
              <w:szCs w:val="36"/>
            </w:rPr>
          </w:pP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HYPERLINK \l _Toc10243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bCs/>
              <w:sz w:val="28"/>
              <w:szCs w:val="48"/>
              <w:lang w:val="en-US" w:eastAsia="zh-CN"/>
            </w:rPr>
            <w:t>（七）地下室大件垃圾房功能配置</w:t>
          </w:r>
          <w:r>
            <w:rPr>
              <w:rFonts w:hint="eastAsia" w:ascii="仿宋" w:hAnsi="仿宋" w:eastAsia="仿宋" w:cs="仿宋"/>
              <w:sz w:val="28"/>
              <w:szCs w:val="36"/>
            </w:rPr>
            <w:tab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PAGEREF _Toc10243 \h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sz w:val="28"/>
              <w:szCs w:val="36"/>
            </w:rPr>
            <w:t>8</w: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825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80" w:lineRule="auto"/>
            <w:textAlignment w:val="auto"/>
            <w:rPr>
              <w:rFonts w:hint="eastAsia" w:ascii="仿宋" w:hAnsi="仿宋" w:eastAsia="仿宋" w:cs="仿宋"/>
              <w:sz w:val="28"/>
              <w:szCs w:val="36"/>
            </w:rPr>
          </w:pP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HYPERLINK \l _Toc12325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bCs w:val="0"/>
              <w:sz w:val="28"/>
              <w:szCs w:val="36"/>
            </w:rPr>
            <w:t>三、 垃圾分类清运</w:t>
          </w:r>
          <w:r>
            <w:rPr>
              <w:rFonts w:hint="eastAsia" w:ascii="仿宋" w:hAnsi="仿宋" w:eastAsia="仿宋" w:cs="仿宋"/>
              <w:sz w:val="28"/>
              <w:szCs w:val="36"/>
            </w:rPr>
            <w:tab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PAGEREF _Toc12325 \h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sz w:val="28"/>
              <w:szCs w:val="36"/>
            </w:rPr>
            <w:t>9</w: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825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80" w:lineRule="auto"/>
            <w:textAlignment w:val="auto"/>
            <w:rPr>
              <w:rFonts w:hint="eastAsia" w:ascii="仿宋" w:hAnsi="仿宋" w:eastAsia="仿宋" w:cs="仿宋"/>
              <w:sz w:val="28"/>
              <w:szCs w:val="36"/>
            </w:rPr>
          </w:pP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HYPERLINK \l _Toc13856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bCs w:val="0"/>
              <w:sz w:val="28"/>
              <w:szCs w:val="36"/>
            </w:rPr>
            <w:t xml:space="preserve">四、 </w:t>
          </w:r>
          <w:r>
            <w:rPr>
              <w:rFonts w:hint="eastAsia" w:ascii="仿宋" w:hAnsi="仿宋" w:eastAsia="仿宋" w:cs="仿宋"/>
              <w:bCs w:val="0"/>
              <w:sz w:val="28"/>
              <w:szCs w:val="36"/>
              <w:lang w:val="en-US" w:eastAsia="zh-CN"/>
            </w:rPr>
            <w:t>小区内宣传内容</w:t>
          </w:r>
          <w:r>
            <w:rPr>
              <w:rFonts w:hint="eastAsia" w:ascii="仿宋" w:hAnsi="仿宋" w:eastAsia="仿宋" w:cs="仿宋"/>
              <w:sz w:val="28"/>
              <w:szCs w:val="36"/>
            </w:rPr>
            <w:tab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PAGEREF _Toc13856 \h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sz w:val="28"/>
              <w:szCs w:val="36"/>
            </w:rPr>
            <w:t>10</w: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</w:p>
        <w:p>
          <w:pPr>
            <w:pStyle w:val="22"/>
            <w:keepNext w:val="0"/>
            <w:keepLines w:val="0"/>
            <w:pageBreakBefore w:val="0"/>
            <w:widowControl w:val="0"/>
            <w:tabs>
              <w:tab w:val="right" w:leader="dot" w:pos="825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80" w:lineRule="auto"/>
            <w:textAlignment w:val="auto"/>
            <w:rPr>
              <w:rFonts w:hint="eastAsia" w:ascii="仿宋" w:hAnsi="仿宋" w:eastAsia="仿宋" w:cs="仿宋"/>
              <w:sz w:val="28"/>
              <w:szCs w:val="36"/>
            </w:rPr>
          </w:pP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HYPERLINK \l _Toc29434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bCs/>
              <w:sz w:val="28"/>
              <w:szCs w:val="48"/>
              <w:lang w:val="en-US" w:eastAsia="zh-CN"/>
            </w:rPr>
            <w:t>（一） 垃圾分类宣传公告栏</w:t>
          </w:r>
          <w:r>
            <w:rPr>
              <w:rFonts w:hint="eastAsia" w:ascii="仿宋" w:hAnsi="仿宋" w:eastAsia="仿宋" w:cs="仿宋"/>
              <w:sz w:val="28"/>
              <w:szCs w:val="36"/>
            </w:rPr>
            <w:tab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PAGEREF _Toc29434 \h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sz w:val="28"/>
              <w:szCs w:val="36"/>
            </w:rPr>
            <w:t>10</w: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</w:p>
        <w:p>
          <w:pPr>
            <w:pStyle w:val="22"/>
            <w:keepNext w:val="0"/>
            <w:keepLines w:val="0"/>
            <w:pageBreakBefore w:val="0"/>
            <w:widowControl w:val="0"/>
            <w:tabs>
              <w:tab w:val="right" w:leader="dot" w:pos="825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80" w:lineRule="auto"/>
            <w:textAlignment w:val="auto"/>
            <w:rPr>
              <w:rFonts w:hint="eastAsia" w:ascii="仿宋" w:hAnsi="仿宋" w:eastAsia="仿宋" w:cs="仿宋"/>
              <w:sz w:val="28"/>
              <w:szCs w:val="36"/>
            </w:rPr>
          </w:pP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HYPERLINK \l _Toc4666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bCs/>
              <w:sz w:val="28"/>
              <w:szCs w:val="48"/>
              <w:lang w:val="en-US" w:eastAsia="zh-CN"/>
            </w:rPr>
            <w:t>（二） 垃圾分类楼道宣传、荣誉榜</w:t>
          </w:r>
          <w:r>
            <w:rPr>
              <w:rFonts w:hint="eastAsia" w:ascii="仿宋" w:hAnsi="仿宋" w:eastAsia="仿宋" w:cs="仿宋"/>
              <w:sz w:val="28"/>
              <w:szCs w:val="36"/>
            </w:rPr>
            <w:tab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</w:rPr>
            <w:instrText xml:space="preserve"> PAGEREF _Toc4666 \h </w:instrTex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separate"/>
          </w:r>
          <w:r>
            <w:rPr>
              <w:rFonts w:hint="eastAsia" w:ascii="仿宋" w:hAnsi="仿宋" w:eastAsia="仿宋" w:cs="仿宋"/>
              <w:sz w:val="28"/>
              <w:szCs w:val="36"/>
            </w:rPr>
            <w:t>11</w:t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</w:p>
        <w:p>
          <w:pPr>
            <w:keepNext w:val="0"/>
            <w:keepLines w:val="0"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80" w:lineRule="auto"/>
            <w:textAlignment w:val="auto"/>
            <w:rPr>
              <w:rFonts w:hint="default" w:ascii="仿宋" w:hAnsi="仿宋" w:eastAsia="仿宋" w:cs="仿宋"/>
              <w:sz w:val="28"/>
              <w:szCs w:val="36"/>
              <w:lang w:val="en-US" w:eastAsia="zh-CN"/>
            </w:rPr>
          </w:pPr>
          <w:r>
            <w:rPr>
              <w:rFonts w:hint="eastAsia" w:ascii="仿宋" w:hAnsi="仿宋" w:eastAsia="仿宋" w:cs="仿宋"/>
              <w:sz w:val="28"/>
              <w:szCs w:val="36"/>
            </w:rPr>
            <w:fldChar w:fldCharType="end"/>
          </w:r>
          <w:r>
            <w:rPr>
              <w:rFonts w:hint="eastAsia" w:ascii="仿宋" w:hAnsi="仿宋" w:eastAsia="仿宋" w:cs="仿宋"/>
              <w:sz w:val="28"/>
              <w:szCs w:val="36"/>
              <w:lang w:val="en-US" w:eastAsia="zh-CN"/>
            </w:rPr>
            <w:t>五、垃圾房点位明细内容...................................16</w:t>
          </w:r>
        </w:p>
        <w:p>
          <w:pPr>
            <w:keepNext w:val="0"/>
            <w:keepLines w:val="0"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80" w:lineRule="auto"/>
            <w:textAlignment w:val="auto"/>
            <w:rPr>
              <w:rFonts w:hint="eastAsia" w:ascii="仿宋" w:hAnsi="仿宋" w:eastAsia="仿宋" w:cs="仿宋"/>
            </w:rPr>
          </w:pPr>
        </w:p>
      </w:sdtContent>
    </w:sdt>
    <w:p>
      <w:pPr>
        <w:pStyle w:val="3"/>
        <w:spacing w:line="360" w:lineRule="auto"/>
        <w:outlineLvl w:val="0"/>
        <w:rPr>
          <w:rFonts w:hint="eastAsia" w:ascii="仿宋" w:hAnsi="仿宋" w:eastAsia="仿宋" w:cs="仿宋"/>
          <w:lang w:val="en-US" w:eastAsia="zh-CN"/>
        </w:rPr>
        <w:sectPr>
          <w:headerReference r:id="rId3" w:type="default"/>
          <w:footerReference r:id="rId4" w:type="default"/>
          <w:pgSz w:w="11850" w:h="16783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 w:start="1"/>
          <w:cols w:space="425" w:num="1"/>
          <w:docGrid w:type="lines" w:linePitch="312" w:charSpace="0"/>
        </w:sectPr>
      </w:pPr>
    </w:p>
    <w:p>
      <w:pPr>
        <w:pStyle w:val="3"/>
        <w:numPr>
          <w:ilvl w:val="0"/>
          <w:numId w:val="2"/>
        </w:numPr>
        <w:spacing w:line="360" w:lineRule="auto"/>
        <w:outlineLvl w:val="0"/>
        <w:rPr>
          <w:rFonts w:hint="eastAsia" w:ascii="仿宋" w:hAnsi="仿宋" w:eastAsia="仿宋" w:cs="仿宋"/>
          <w:lang w:val="en-US" w:eastAsia="zh-CN"/>
        </w:rPr>
      </w:pPr>
      <w:bookmarkStart w:id="0" w:name="_Toc15245"/>
      <w:r>
        <w:rPr>
          <w:rFonts w:hint="eastAsia" w:ascii="仿宋" w:hAnsi="仿宋" w:eastAsia="仿宋" w:cs="仿宋"/>
          <w:lang w:val="en-US" w:eastAsia="zh-CN"/>
        </w:rPr>
        <w:t>嘉隐云庭项目简介</w:t>
      </w:r>
      <w:bookmarkEnd w:id="0"/>
    </w:p>
    <w:p>
      <w:pPr>
        <w:numPr>
          <w:ilvl w:val="0"/>
          <w:numId w:val="0"/>
        </w:numPr>
        <w:spacing w:beforeLines="50" w:afterLines="50" w:line="360" w:lineRule="auto"/>
        <w:jc w:val="left"/>
        <w:outlineLvl w:val="1"/>
        <w:rPr>
          <w:rFonts w:hint="default" w:ascii="仿宋" w:hAnsi="仿宋" w:eastAsia="仿宋" w:cs="仿宋"/>
          <w:b/>
          <w:bCs/>
          <w:sz w:val="28"/>
          <w:szCs w:val="36"/>
          <w:lang w:val="en-US" w:eastAsia="zh-CN"/>
        </w:rPr>
      </w:pPr>
      <w:bookmarkStart w:id="1" w:name="_Toc26338"/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t>（一）小区规模、开发商、物业</w:t>
      </w:r>
      <w:bookmarkEnd w:id="1"/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仿宋" w:hAnsi="仿宋" w:eastAsia="仿宋" w:cs="仿宋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项目名称：</w:t>
      </w:r>
      <w:r>
        <w:rPr>
          <w:rFonts w:hint="eastAsia" w:ascii="仿宋" w:hAnsi="仿宋" w:eastAsia="仿宋" w:cs="仿宋"/>
          <w:color w:val="000000"/>
          <w:kern w:val="0"/>
          <w:sz w:val="24"/>
          <w:szCs w:val="24"/>
          <w:lang w:val="en-US" w:eastAsia="zh-CN" w:bidi="ar"/>
        </w:rPr>
        <w:t>嘉兴交控安高·嘉隐云庭项目（暂定名）。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</w:rPr>
        <w:t>小区位置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：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嘉兴市南湖区南湖城北路与恬园路交汇处。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小区总用地面积：53555.01㎡，总</w:t>
      </w:r>
      <w:r>
        <w:rPr>
          <w:rFonts w:hint="eastAsia" w:ascii="仿宋" w:hAnsi="仿宋" w:eastAsia="仿宋" w:cs="仿宋"/>
          <w:sz w:val="24"/>
          <w:szCs w:val="24"/>
        </w:rPr>
        <w:t>建筑面积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：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174938.92㎡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小区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共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13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幢</w:t>
      </w:r>
      <w:r>
        <w:rPr>
          <w:rFonts w:hint="eastAsia" w:ascii="仿宋" w:hAnsi="仿宋" w:eastAsia="仿宋" w:cs="仿宋"/>
          <w:sz w:val="24"/>
          <w:szCs w:val="24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其中5＃为物业用房</w:t>
      </w:r>
      <w:r>
        <w:rPr>
          <w:rFonts w:hint="eastAsia" w:ascii="仿宋" w:hAnsi="仿宋" w:eastAsia="仿宋" w:cs="仿宋"/>
          <w:sz w:val="24"/>
          <w:szCs w:val="24"/>
          <w:highlight w:val="none"/>
          <w:lang w:eastAsia="zh-CN"/>
        </w:rPr>
        <w:t>），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总共929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户</w:t>
      </w:r>
      <w:r>
        <w:rPr>
          <w:rFonts w:hint="eastAsia" w:ascii="仿宋" w:hAnsi="仿宋" w:eastAsia="仿宋" w:cs="仿宋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住宅建筑面积115451.07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㎡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；公共配套建筑面积1531.85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㎡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；地下总建筑面积57126.41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㎡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小区开发商：嘉兴市交控安高房地产开发有限公司。</w:t>
      </w:r>
    </w:p>
    <w:p>
      <w:pPr>
        <w:pStyle w:val="2"/>
        <w:jc w:val="center"/>
        <w:rPr>
          <w:rFonts w:hint="eastAsia" w:eastAsia="仿宋"/>
          <w:lang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89550" cy="3967480"/>
            <wp:effectExtent l="0" t="0" r="6350" b="13970"/>
            <wp:docPr id="19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89550" cy="39674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lang w:val="en-US" w:eastAsia="zh-CN"/>
        </w:rPr>
      </w:pPr>
      <w:r>
        <w:rPr>
          <w:rFonts w:hint="eastAsia" w:ascii="仿宋" w:hAnsi="仿宋" w:eastAsia="仿宋" w:cs="仿宋"/>
          <w:lang w:val="en-US" w:eastAsia="zh-CN"/>
        </w:rPr>
        <w:t>（嘉隐云庭鸟瞰图）</w:t>
      </w:r>
    </w:p>
    <w:p>
      <w:pPr>
        <w:pStyle w:val="2"/>
        <w:rPr>
          <w:rFonts w:hint="eastAsia" w:ascii="仿宋" w:hAnsi="仿宋" w:eastAsia="仿宋" w:cs="仿宋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numPr>
          <w:ilvl w:val="0"/>
          <w:numId w:val="2"/>
        </w:numPr>
        <w:spacing w:line="360" w:lineRule="auto"/>
        <w:outlineLvl w:val="0"/>
        <w:rPr>
          <w:rFonts w:hint="eastAsia" w:ascii="仿宋" w:hAnsi="仿宋" w:eastAsia="仿宋" w:cs="仿宋"/>
          <w:lang w:val="en-US" w:eastAsia="zh-CN"/>
        </w:rPr>
      </w:pPr>
      <w:bookmarkStart w:id="2" w:name="_Toc21093"/>
      <w:r>
        <w:rPr>
          <w:rFonts w:hint="eastAsia" w:ascii="仿宋" w:hAnsi="仿宋" w:eastAsia="仿宋" w:cs="仿宋"/>
          <w:lang w:val="en-US" w:eastAsia="zh-CN"/>
        </w:rPr>
        <w:t>嘉隐云庭垃圾分类项目规划简介</w:t>
      </w:r>
      <w:bookmarkEnd w:id="2"/>
    </w:p>
    <w:p>
      <w:pPr>
        <w:numPr>
          <w:ilvl w:val="0"/>
          <w:numId w:val="0"/>
        </w:numPr>
        <w:spacing w:beforeLines="50" w:afterLines="50" w:line="360" w:lineRule="auto"/>
        <w:jc w:val="left"/>
        <w:outlineLvl w:val="1"/>
        <w:rPr>
          <w:rFonts w:hint="default" w:ascii="仿宋" w:hAnsi="仿宋" w:eastAsia="仿宋" w:cs="仿宋"/>
          <w:b/>
          <w:bCs/>
          <w:sz w:val="28"/>
          <w:szCs w:val="36"/>
          <w:lang w:val="en-US" w:eastAsia="zh-CN"/>
        </w:rPr>
      </w:pPr>
      <w:bookmarkStart w:id="3" w:name="_Toc24327"/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t>（一）垃圾分类设施规划方案简介</w:t>
      </w:r>
      <w:bookmarkEnd w:id="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Lines="50" w:afterLines="50" w:line="360" w:lineRule="auto"/>
        <w:ind w:firstLine="561"/>
        <w:jc w:val="left"/>
        <w:textAlignment w:val="auto"/>
        <w:rPr>
          <w:rFonts w:hint="eastAsia" w:ascii="仿宋" w:hAnsi="仿宋" w:eastAsia="仿宋" w:cs="仿宋"/>
          <w:b w:val="0"/>
          <w:bCs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8"/>
          <w:szCs w:val="28"/>
        </w:rPr>
        <w:t>为进一步规范生活垃圾收运体系，强化社区生活垃圾分类管理水平，持续提升社区整体环境状况，</w:t>
      </w:r>
      <w:r>
        <w:rPr>
          <w:rFonts w:hint="eastAsia" w:ascii="仿宋" w:hAnsi="仿宋" w:eastAsia="仿宋" w:cs="仿宋"/>
          <w:b w:val="0"/>
          <w:bCs/>
          <w:sz w:val="28"/>
          <w:szCs w:val="28"/>
          <w:lang w:val="en-US" w:eastAsia="zh-CN"/>
        </w:rPr>
        <w:t>根据</w:t>
      </w:r>
      <w:r>
        <w:rPr>
          <w:rFonts w:hint="eastAsia" w:ascii="仿宋" w:hAnsi="仿宋" w:eastAsia="仿宋" w:cs="仿宋"/>
          <w:b w:val="0"/>
          <w:bCs/>
          <w:sz w:val="28"/>
          <w:szCs w:val="28"/>
        </w:rPr>
        <w:t>《</w:t>
      </w:r>
      <w:r>
        <w:rPr>
          <w:rFonts w:hint="eastAsia" w:ascii="仿宋" w:hAnsi="仿宋" w:eastAsia="仿宋" w:cs="仿宋"/>
          <w:b w:val="0"/>
          <w:bCs/>
          <w:sz w:val="28"/>
          <w:szCs w:val="28"/>
          <w:lang w:val="en-US" w:eastAsia="zh-CN"/>
        </w:rPr>
        <w:t>浙江省城镇生活垃圾分类管理办法</w:t>
      </w:r>
      <w:r>
        <w:rPr>
          <w:rFonts w:hint="eastAsia" w:ascii="仿宋" w:hAnsi="仿宋" w:eastAsia="仿宋" w:cs="仿宋"/>
          <w:b w:val="0"/>
          <w:bCs/>
          <w:sz w:val="28"/>
          <w:szCs w:val="28"/>
        </w:rPr>
        <w:t>》</w:t>
      </w:r>
      <w:r>
        <w:rPr>
          <w:rFonts w:hint="eastAsia" w:ascii="仿宋" w:hAnsi="仿宋" w:eastAsia="仿宋" w:cs="仿宋"/>
          <w:b w:val="0"/>
          <w:bCs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仿宋"/>
          <w:b w:val="0"/>
          <w:bCs/>
          <w:sz w:val="28"/>
          <w:szCs w:val="28"/>
          <w:lang w:val="en-US" w:eastAsia="zh-CN"/>
        </w:rPr>
        <w:t>省政府令第365号</w:t>
      </w:r>
      <w:r>
        <w:rPr>
          <w:rFonts w:hint="eastAsia" w:ascii="仿宋" w:hAnsi="仿宋" w:eastAsia="仿宋" w:cs="仿宋"/>
          <w:b w:val="0"/>
          <w:bCs/>
          <w:sz w:val="28"/>
          <w:szCs w:val="28"/>
          <w:lang w:eastAsia="zh-CN"/>
        </w:rPr>
        <w:t>），《</w:t>
      </w:r>
      <w:r>
        <w:rPr>
          <w:rFonts w:hint="eastAsia" w:ascii="仿宋" w:hAnsi="仿宋" w:eastAsia="仿宋" w:cs="仿宋"/>
          <w:b w:val="0"/>
          <w:bCs/>
          <w:sz w:val="28"/>
          <w:szCs w:val="28"/>
          <w:lang w:val="en-US" w:eastAsia="zh-CN"/>
        </w:rPr>
        <w:t>浙江省城镇生活垃圾分类标准</w:t>
      </w:r>
      <w:r>
        <w:rPr>
          <w:rFonts w:hint="eastAsia" w:ascii="仿宋" w:hAnsi="仿宋" w:eastAsia="仿宋" w:cs="仿宋"/>
          <w:b w:val="0"/>
          <w:bCs/>
          <w:sz w:val="28"/>
          <w:szCs w:val="28"/>
          <w:lang w:eastAsia="zh-CN"/>
        </w:rPr>
        <w:t>》（</w:t>
      </w:r>
      <w:r>
        <w:rPr>
          <w:rFonts w:hint="eastAsia" w:ascii="仿宋" w:hAnsi="仿宋" w:eastAsia="仿宋" w:cs="仿宋"/>
          <w:b w:val="0"/>
          <w:bCs/>
          <w:sz w:val="28"/>
          <w:szCs w:val="28"/>
          <w:lang w:val="en-US" w:eastAsia="zh-CN"/>
        </w:rPr>
        <w:t>DB33/T1166-2020</w:t>
      </w:r>
      <w:r>
        <w:rPr>
          <w:rFonts w:hint="eastAsia" w:ascii="仿宋" w:hAnsi="仿宋" w:eastAsia="仿宋" w:cs="仿宋"/>
          <w:b w:val="0"/>
          <w:bCs/>
          <w:sz w:val="28"/>
          <w:szCs w:val="28"/>
          <w:lang w:eastAsia="zh-CN"/>
        </w:rPr>
        <w:t>）</w:t>
      </w:r>
      <w:r>
        <w:rPr>
          <w:rFonts w:hint="eastAsia" w:ascii="仿宋" w:hAnsi="仿宋" w:eastAsia="仿宋" w:cs="仿宋"/>
          <w:b w:val="0"/>
          <w:bCs/>
          <w:sz w:val="28"/>
          <w:szCs w:val="28"/>
          <w:lang w:val="en-US" w:eastAsia="zh-CN"/>
        </w:rPr>
        <w:t>及《新建商品房住宅小区项目生活垃圾分类设施建设标准》的“三同时”的要求</w:t>
      </w:r>
      <w:r>
        <w:rPr>
          <w:rFonts w:hint="eastAsia" w:ascii="仿宋" w:hAnsi="仿宋" w:eastAsia="仿宋" w:cs="仿宋"/>
          <w:kern w:val="0"/>
          <w:sz w:val="28"/>
          <w:szCs w:val="28"/>
          <w:lang w:val="en-US" w:eastAsia="zh-CN"/>
        </w:rPr>
        <w:t>，结合</w:t>
      </w:r>
      <w:r>
        <w:rPr>
          <w:rFonts w:hint="eastAsia" w:ascii="仿宋" w:hAnsi="仿宋" w:eastAsia="仿宋" w:cs="仿宋"/>
          <w:b w:val="0"/>
          <w:bCs/>
          <w:sz w:val="28"/>
          <w:szCs w:val="28"/>
          <w:lang w:val="en-US" w:eastAsia="zh-CN"/>
        </w:rPr>
        <w:t>嘉隐云庭住宅小区</w:t>
      </w:r>
      <w:r>
        <w:rPr>
          <w:rFonts w:hint="eastAsia" w:ascii="仿宋" w:hAnsi="仿宋" w:eastAsia="仿宋" w:cs="仿宋"/>
          <w:kern w:val="0"/>
          <w:sz w:val="28"/>
          <w:szCs w:val="28"/>
          <w:lang w:val="en-US" w:eastAsia="zh-CN"/>
        </w:rPr>
        <w:t>的实际情况（总户数929户）及分类办相关设置要求</w:t>
      </w:r>
      <w:r>
        <w:rPr>
          <w:rFonts w:hint="eastAsia" w:ascii="仿宋" w:hAnsi="仿宋" w:eastAsia="仿宋" w:cs="仿宋"/>
          <w:kern w:val="0"/>
          <w:sz w:val="32"/>
          <w:szCs w:val="32"/>
          <w:lang w:val="en-US" w:eastAsia="zh-CN"/>
        </w:rPr>
        <w:t>，</w:t>
      </w:r>
      <w:r>
        <w:rPr>
          <w:rFonts w:hint="eastAsia" w:ascii="仿宋" w:hAnsi="仿宋" w:eastAsia="仿宋" w:cs="仿宋"/>
          <w:b w:val="0"/>
          <w:bCs/>
          <w:sz w:val="28"/>
          <w:szCs w:val="28"/>
          <w:highlight w:val="none"/>
          <w:lang w:val="en-US" w:eastAsia="zh-CN"/>
        </w:rPr>
        <w:t>计划在小区内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  <w:lang w:val="en-US" w:eastAsia="zh-CN"/>
        </w:rPr>
        <w:t>共设置</w:t>
      </w:r>
      <w:r>
        <w:rPr>
          <w:rFonts w:hint="eastAsia" w:ascii="仿宋" w:hAnsi="仿宋" w:eastAsia="仿宋" w:cs="仿宋"/>
          <w:b w:val="0"/>
          <w:bCs/>
          <w:sz w:val="28"/>
          <w:szCs w:val="28"/>
          <w:highlight w:val="none"/>
        </w:rPr>
        <w:t>生活垃圾分类收集投放点</w:t>
      </w:r>
      <w:r>
        <w:rPr>
          <w:rFonts w:hint="eastAsia" w:ascii="仿宋" w:hAnsi="仿宋" w:eastAsia="仿宋" w:cs="仿宋"/>
          <w:b w:val="0"/>
          <w:bCs/>
          <w:sz w:val="28"/>
          <w:szCs w:val="28"/>
          <w:highlight w:val="none"/>
          <w:lang w:val="en-US" w:eastAsia="zh-CN"/>
        </w:rPr>
        <w:t>3处</w:t>
      </w:r>
      <w:r>
        <w:rPr>
          <w:rFonts w:hint="eastAsia" w:ascii="仿宋" w:hAnsi="仿宋" w:eastAsia="仿宋" w:cs="仿宋"/>
          <w:b w:val="0"/>
          <w:bCs/>
          <w:sz w:val="28"/>
          <w:szCs w:val="28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b w:val="0"/>
          <w:bCs/>
          <w:sz w:val="28"/>
          <w:szCs w:val="28"/>
          <w:highlight w:val="none"/>
          <w:lang w:val="en-US" w:eastAsia="zh-CN"/>
        </w:rPr>
        <w:t>全部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  <w:lang w:val="en-US" w:eastAsia="zh-CN"/>
        </w:rPr>
        <w:t>位于地面；有害垃圾投放点2处，位于生活垃圾收集投放点；大件、建筑、园林垃圾投放点位1处，位于地面</w:t>
      </w:r>
      <w:r>
        <w:rPr>
          <w:rFonts w:hint="eastAsia" w:ascii="仿宋" w:hAnsi="仿宋" w:eastAsia="仿宋" w:cs="仿宋"/>
          <w:b w:val="0"/>
          <w:bCs/>
          <w:sz w:val="28"/>
          <w:szCs w:val="28"/>
          <w:highlight w:val="none"/>
          <w:lang w:val="en-US" w:eastAsia="zh-CN"/>
        </w:rPr>
        <w:t>。</w:t>
      </w:r>
    </w:p>
    <w:p>
      <w:pPr>
        <w:pStyle w:val="2"/>
        <w:rPr>
          <w:rFonts w:hint="eastAsia" w:ascii="仿宋" w:hAnsi="仿宋" w:eastAsia="仿宋" w:cs="仿宋"/>
          <w:b w:val="0"/>
          <w:bCs/>
          <w:sz w:val="28"/>
          <w:szCs w:val="28"/>
          <w:highlight w:val="none"/>
          <w:lang w:val="en-US" w:eastAsia="zh-CN"/>
        </w:rPr>
      </w:pPr>
    </w:p>
    <w:p>
      <w:pPr>
        <w:rPr>
          <w:rFonts w:hint="default" w:ascii="仿宋" w:hAnsi="仿宋" w:eastAsia="仿宋" w:cs="仿宋"/>
          <w:b w:val="0"/>
          <w:bCs/>
          <w:sz w:val="28"/>
          <w:szCs w:val="28"/>
          <w:highlight w:val="none"/>
          <w:lang w:val="en-US" w:eastAsia="zh-CN"/>
        </w:rPr>
      </w:pPr>
    </w:p>
    <w:p>
      <w:pPr>
        <w:pStyle w:val="2"/>
        <w:rPr>
          <w:rFonts w:hint="eastAsia" w:ascii="仿宋" w:hAnsi="仿宋" w:eastAsia="仿宋" w:cs="仿宋"/>
          <w:b w:val="0"/>
          <w:bCs/>
          <w:sz w:val="28"/>
          <w:szCs w:val="28"/>
          <w:highlight w:val="none"/>
          <w:lang w:val="en-US" w:eastAsia="zh-CN"/>
        </w:rPr>
      </w:pPr>
    </w:p>
    <w:p>
      <w:pPr>
        <w:rPr>
          <w:rFonts w:hint="eastAsia" w:ascii="仿宋" w:hAnsi="仿宋" w:eastAsia="仿宋" w:cs="仿宋"/>
          <w:b w:val="0"/>
          <w:bCs/>
          <w:sz w:val="28"/>
          <w:szCs w:val="28"/>
          <w:highlight w:val="none"/>
          <w:lang w:val="en-US" w:eastAsia="zh-CN"/>
        </w:rPr>
      </w:pPr>
    </w:p>
    <w:p>
      <w:pPr>
        <w:pStyle w:val="2"/>
        <w:rPr>
          <w:rFonts w:hint="eastAsia" w:ascii="仿宋" w:hAnsi="仿宋" w:eastAsia="仿宋" w:cs="仿宋"/>
          <w:b w:val="0"/>
          <w:bCs/>
          <w:sz w:val="28"/>
          <w:szCs w:val="28"/>
          <w:highlight w:val="none"/>
          <w:lang w:val="en-US" w:eastAsia="zh-CN"/>
        </w:rPr>
      </w:pPr>
    </w:p>
    <w:p>
      <w:pPr>
        <w:rPr>
          <w:rFonts w:hint="eastAsia" w:ascii="仿宋" w:hAnsi="仿宋" w:eastAsia="仿宋" w:cs="仿宋"/>
          <w:b w:val="0"/>
          <w:bCs/>
          <w:sz w:val="28"/>
          <w:szCs w:val="28"/>
          <w:highlight w:val="none"/>
          <w:lang w:val="en-US" w:eastAsia="zh-CN"/>
        </w:rPr>
      </w:pPr>
    </w:p>
    <w:p>
      <w:pPr>
        <w:pStyle w:val="2"/>
        <w:rPr>
          <w:rFonts w:hint="eastAsia" w:ascii="仿宋" w:hAnsi="仿宋" w:eastAsia="仿宋" w:cs="仿宋"/>
          <w:b w:val="0"/>
          <w:bCs/>
          <w:sz w:val="28"/>
          <w:szCs w:val="28"/>
          <w:highlight w:val="none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 w:ascii="仿宋" w:hAnsi="仿宋" w:eastAsia="仿宋" w:cs="仿宋"/>
          <w:b w:val="0"/>
          <w:bCs/>
          <w:sz w:val="28"/>
          <w:szCs w:val="28"/>
          <w:highlight w:val="none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spacing w:beforeLines="50" w:afterLines="50" w:line="360" w:lineRule="auto"/>
        <w:jc w:val="left"/>
        <w:outlineLvl w:val="1"/>
        <w:rPr>
          <w:rFonts w:hint="eastAsia"/>
          <w:lang w:val="en-US" w:eastAsia="zh-CN"/>
        </w:rPr>
      </w:pPr>
      <w:bookmarkStart w:id="4" w:name="_Toc17556"/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t>（二）项目厢房点位布置图</w:t>
      </w:r>
      <w:bookmarkEnd w:id="4"/>
    </w:p>
    <w:p>
      <w:pPr>
        <w:pStyle w:val="2"/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38115" cy="3675380"/>
            <wp:effectExtent l="0" t="0" r="635" b="127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367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ind w:firstLine="562" w:firstLineChars="200"/>
        <w:jc w:val="left"/>
        <w:textAlignment w:val="auto"/>
      </w:pPr>
      <w:r>
        <w:rPr>
          <w:rFonts w:hint="eastAsia" w:ascii="仿宋" w:hAnsi="仿宋" w:eastAsia="仿宋" w:cs="仿宋"/>
          <w:b/>
          <w:bCs/>
          <w:color w:val="231F20"/>
          <w:kern w:val="0"/>
          <w:sz w:val="28"/>
          <w:szCs w:val="28"/>
          <w:lang w:val="en-US" w:eastAsia="zh-CN" w:bidi="ar"/>
        </w:rPr>
        <w:t>备注说明：</w:t>
      </w:r>
      <w:r>
        <w:rPr>
          <w:rFonts w:hint="eastAsia" w:ascii="仿宋" w:hAnsi="仿宋" w:eastAsia="仿宋" w:cs="仿宋"/>
          <w:color w:val="231F20"/>
          <w:kern w:val="0"/>
          <w:sz w:val="28"/>
          <w:szCs w:val="28"/>
          <w:lang w:val="en-US" w:eastAsia="zh-CN" w:bidi="ar"/>
        </w:rPr>
        <w:t>本项目垃圾收集房1号厢房位于13幢西侧，2号厢房位于西南侧入口处，生活垃圾房（收集点）面积约19.25㎡，3号驿站位于东侧配电房对面，面积约为</w:t>
      </w:r>
      <w:r>
        <w:rPr>
          <w:rFonts w:hint="default" w:ascii="仿宋" w:hAnsi="仿宋" w:eastAsia="仿宋" w:cs="仿宋"/>
          <w:color w:val="231F20"/>
          <w:kern w:val="0"/>
          <w:sz w:val="28"/>
          <w:szCs w:val="28"/>
          <w:lang w:val="en-US" w:eastAsia="zh-CN" w:bidi="ar"/>
        </w:rPr>
        <w:t>10</w:t>
      </w:r>
      <w:r>
        <w:rPr>
          <w:rFonts w:hint="eastAsia" w:ascii="仿宋" w:hAnsi="仿宋" w:eastAsia="仿宋" w:cs="仿宋"/>
          <w:color w:val="231F20"/>
          <w:kern w:val="0"/>
          <w:sz w:val="28"/>
          <w:szCs w:val="28"/>
          <w:lang w:val="en-US" w:eastAsia="zh-CN" w:bidi="ar"/>
        </w:rPr>
        <w:t>㎡。大件垃圾堆放处约30㎡，高度约3.5米。垃圾处理点满足垃圾车正常操作，清运路线如图所示就近选择，内部装修及设备安装满足垃圾办及环卫处的规范要求。</w:t>
      </w:r>
    </w:p>
    <w:p>
      <w:pP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</w:pPr>
      <w:bookmarkStart w:id="5" w:name="_Toc18115"/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br w:type="page"/>
      </w:r>
    </w:p>
    <w:p>
      <w:pPr>
        <w:keepNext w:val="0"/>
        <w:keepLines w:val="0"/>
        <w:widowControl/>
        <w:suppressLineNumbers w:val="0"/>
        <w:jc w:val="both"/>
        <w:rPr>
          <w:rFonts w:hint="default" w:eastAsiaTheme="minorEastAsia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t>（三）地块主要技术指标</w:t>
      </w:r>
      <w:bookmarkEnd w:id="5"/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t>：</w:t>
      </w:r>
      <w:r>
        <w:rPr>
          <w:rFonts w:hint="eastAsia"/>
          <w:lang w:val="en-US" w:eastAsia="zh-CN"/>
        </w:rPr>
        <w:t xml:space="preserve">/  </w:t>
      </w:r>
      <w:bookmarkStart w:id="14" w:name="_GoBack"/>
      <w:bookmarkEnd w:id="14"/>
    </w:p>
    <w:p>
      <w:pPr>
        <w:numPr>
          <w:ilvl w:val="0"/>
          <w:numId w:val="0"/>
        </w:numPr>
        <w:spacing w:beforeLines="50" w:afterLines="50" w:line="360" w:lineRule="auto"/>
        <w:jc w:val="left"/>
        <w:outlineLvl w:val="1"/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</w:pPr>
    </w:p>
    <w:p>
      <w:pPr>
        <w:keepNext w:val="0"/>
        <w:keepLines w:val="0"/>
        <w:widowControl/>
        <w:suppressLineNumbers w:val="0"/>
        <w:jc w:val="center"/>
        <w:rPr>
          <w:rFonts w:hint="eastAsia"/>
          <w:lang w:val="en-US" w:eastAsia="zh-CN"/>
        </w:rPr>
      </w:pPr>
    </w:p>
    <w:p>
      <w:pPr>
        <w:pStyle w:val="2"/>
      </w:pPr>
    </w:p>
    <w:p>
      <w:pPr>
        <w:keepNext w:val="0"/>
        <w:keepLines w:val="0"/>
        <w:widowControl/>
        <w:suppressLineNumbers w:val="0"/>
        <w:jc w:val="left"/>
      </w:pPr>
    </w:p>
    <w:p>
      <w:pPr>
        <w:numPr>
          <w:ilvl w:val="0"/>
          <w:numId w:val="3"/>
        </w:numPr>
        <w:spacing w:beforeLines="50" w:afterLines="50" w:line="360" w:lineRule="auto"/>
        <w:jc w:val="left"/>
        <w:outlineLvl w:val="1"/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</w:pPr>
      <w:bookmarkStart w:id="6" w:name="_Toc26660"/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t>智能垃圾分类厢房 - 效果图/布局图</w:t>
      </w:r>
      <w:bookmarkEnd w:id="6"/>
    </w:p>
    <w:p>
      <w:pPr>
        <w:pStyle w:val="2"/>
        <w:numPr>
          <w:ilvl w:val="0"/>
          <w:numId w:val="0"/>
        </w:numPr>
        <w:jc w:val="center"/>
        <w:rPr>
          <w:rFonts w:hint="default"/>
          <w:b/>
          <w:bCs/>
          <w:sz w:val="22"/>
          <w:szCs w:val="1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32"/>
          <w:lang w:val="en-US" w:eastAsia="zh-CN"/>
        </w:rPr>
        <w:t>1、地面点位一（</w:t>
      </w:r>
      <w:r>
        <w:rPr>
          <w:rFonts w:hint="default" w:ascii="仿宋" w:hAnsi="仿宋" w:eastAsia="仿宋" w:cs="仿宋"/>
          <w:b/>
          <w:bCs/>
          <w:sz w:val="24"/>
          <w:szCs w:val="32"/>
          <w:lang w:val="en-US" w:eastAsia="zh-CN"/>
        </w:rPr>
        <w:t>6</w:t>
      </w:r>
      <w:r>
        <w:rPr>
          <w:rFonts w:hint="eastAsia" w:ascii="仿宋" w:hAnsi="仿宋" w:eastAsia="仿宋" w:cs="仿宋"/>
          <w:b/>
          <w:bCs/>
          <w:sz w:val="24"/>
          <w:szCs w:val="32"/>
          <w:lang w:val="en-US" w:eastAsia="zh-CN"/>
        </w:rPr>
        <w:t>投口）- 效果图</w:t>
      </w:r>
    </w:p>
    <w:p>
      <w:pPr>
        <w:pStyle w:val="24"/>
        <w:keepNext w:val="0"/>
        <w:keepLines w:val="0"/>
        <w:widowControl/>
        <w:suppressLineNumbers w:val="0"/>
      </w:pPr>
      <w:r>
        <w:drawing>
          <wp:inline distT="0" distB="0" distL="114300" distR="114300">
            <wp:extent cx="5703570" cy="3053715"/>
            <wp:effectExtent l="0" t="0" r="11430" b="13335"/>
            <wp:docPr id="6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03570" cy="3053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0"/>
          <w:lang w:val="en-US" w:eastAsia="zh-CN"/>
        </w:rPr>
        <w:t>实地效果图（</w:t>
      </w:r>
      <w:r>
        <w:rPr>
          <w:rFonts w:hint="default" w:ascii="仿宋" w:hAnsi="仿宋" w:eastAsia="仿宋" w:cs="仿宋"/>
          <w:b w:val="0"/>
          <w:bCs w:val="0"/>
          <w:sz w:val="24"/>
          <w:szCs w:val="20"/>
          <w:lang w:val="en-US" w:eastAsia="zh-CN"/>
        </w:rPr>
        <w:t>3</w:t>
      </w:r>
      <w:r>
        <w:rPr>
          <w:rFonts w:hint="eastAsia" w:ascii="仿宋" w:hAnsi="仿宋" w:eastAsia="仿宋" w:cs="仿宋"/>
          <w:b w:val="0"/>
          <w:bCs w:val="0"/>
          <w:sz w:val="24"/>
          <w:szCs w:val="20"/>
          <w:lang w:val="en-US" w:eastAsia="zh-CN"/>
        </w:rPr>
        <w:t xml:space="preserve">易腐 + </w:t>
      </w:r>
      <w:r>
        <w:rPr>
          <w:rFonts w:hint="default" w:ascii="仿宋" w:hAnsi="仿宋" w:eastAsia="仿宋" w:cs="仿宋"/>
          <w:b w:val="0"/>
          <w:bCs w:val="0"/>
          <w:sz w:val="24"/>
          <w:szCs w:val="20"/>
          <w:lang w:val="en-US" w:eastAsia="zh-CN"/>
        </w:rPr>
        <w:t>3</w:t>
      </w:r>
      <w:r>
        <w:rPr>
          <w:rFonts w:hint="eastAsia" w:ascii="仿宋" w:hAnsi="仿宋" w:eastAsia="仿宋" w:cs="仿宋"/>
          <w:b w:val="0"/>
          <w:bCs w:val="0"/>
          <w:sz w:val="24"/>
          <w:szCs w:val="20"/>
          <w:lang w:val="en-US" w:eastAsia="zh-CN"/>
        </w:rPr>
        <w:t xml:space="preserve">其他 +1有害） </w:t>
      </w:r>
    </w:p>
    <w:p>
      <w:pPr>
        <w:rPr>
          <w:rFonts w:hint="eastAsia"/>
          <w:lang w:val="en-US" w:eastAsia="zh-CN"/>
        </w:rPr>
      </w:pPr>
    </w:p>
    <w:p>
      <w:pPr>
        <w:pStyle w:val="2"/>
        <w:numPr>
          <w:ilvl w:val="0"/>
          <w:numId w:val="4"/>
        </w:numPr>
        <w:jc w:val="center"/>
        <w:rPr>
          <w:rFonts w:hint="default"/>
          <w:b/>
          <w:bCs/>
          <w:sz w:val="22"/>
          <w:szCs w:val="1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32"/>
          <w:lang w:val="en-US" w:eastAsia="zh-CN"/>
        </w:rPr>
        <w:t>地面点位一（</w:t>
      </w:r>
      <w:r>
        <w:rPr>
          <w:rFonts w:hint="default" w:ascii="仿宋" w:hAnsi="仿宋" w:eastAsia="仿宋" w:cs="仿宋"/>
          <w:b/>
          <w:bCs/>
          <w:sz w:val="24"/>
          <w:szCs w:val="32"/>
          <w:lang w:val="en-US" w:eastAsia="zh-CN"/>
        </w:rPr>
        <w:t>6</w:t>
      </w:r>
      <w:r>
        <w:rPr>
          <w:rFonts w:hint="eastAsia" w:ascii="仿宋" w:hAnsi="仿宋" w:eastAsia="仿宋" w:cs="仿宋"/>
          <w:b/>
          <w:bCs/>
          <w:sz w:val="24"/>
          <w:szCs w:val="32"/>
          <w:lang w:val="en-US" w:eastAsia="zh-CN"/>
        </w:rPr>
        <w:t>投口）- 布局图</w:t>
      </w:r>
      <w:r>
        <w:drawing>
          <wp:inline distT="0" distB="0" distL="114300" distR="114300">
            <wp:extent cx="3955415" cy="3447415"/>
            <wp:effectExtent l="0" t="0" r="698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55415" cy="344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jc w:val="center"/>
        <w:rPr>
          <w:rFonts w:hint="default"/>
          <w:b/>
          <w:bCs/>
          <w:sz w:val="22"/>
          <w:szCs w:val="1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32"/>
          <w:lang w:val="en-US" w:eastAsia="zh-CN"/>
        </w:rPr>
        <w:t>2、地面点位二（</w:t>
      </w:r>
      <w:r>
        <w:rPr>
          <w:rFonts w:hint="default" w:ascii="仿宋" w:hAnsi="仿宋" w:eastAsia="仿宋" w:cs="仿宋"/>
          <w:b/>
          <w:bCs/>
          <w:sz w:val="24"/>
          <w:szCs w:val="32"/>
          <w:lang w:val="en-US" w:eastAsia="zh-CN"/>
        </w:rPr>
        <w:t>6</w:t>
      </w:r>
      <w:r>
        <w:rPr>
          <w:rFonts w:hint="eastAsia" w:ascii="仿宋" w:hAnsi="仿宋" w:eastAsia="仿宋" w:cs="仿宋"/>
          <w:b/>
          <w:bCs/>
          <w:sz w:val="24"/>
          <w:szCs w:val="32"/>
          <w:lang w:val="en-US" w:eastAsia="zh-CN"/>
        </w:rPr>
        <w:t>投口）- 效果图</w:t>
      </w:r>
    </w:p>
    <w:p>
      <w:pPr>
        <w:pStyle w:val="24"/>
        <w:keepNext w:val="0"/>
        <w:keepLines w:val="0"/>
        <w:widowControl/>
        <w:suppressLineNumbers w:val="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6845" cy="2756535"/>
            <wp:effectExtent l="0" t="0" r="1905" b="5715"/>
            <wp:docPr id="12" name="图片 12" descr="60a9afe533321007007b94bcdd0be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60a9afe533321007007b94bcdd0be2c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6845" cy="275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0"/>
          <w:lang w:val="en-US" w:eastAsia="zh-CN"/>
        </w:rPr>
        <w:t>实地效果图（</w:t>
      </w:r>
      <w:r>
        <w:rPr>
          <w:rFonts w:hint="default" w:ascii="仿宋" w:hAnsi="仿宋" w:eastAsia="仿宋" w:cs="仿宋"/>
          <w:b w:val="0"/>
          <w:bCs w:val="0"/>
          <w:sz w:val="24"/>
          <w:szCs w:val="20"/>
          <w:lang w:val="en-US" w:eastAsia="zh-CN"/>
        </w:rPr>
        <w:t>3</w:t>
      </w:r>
      <w:r>
        <w:rPr>
          <w:rFonts w:hint="eastAsia" w:ascii="仿宋" w:hAnsi="仿宋" w:eastAsia="仿宋" w:cs="仿宋"/>
          <w:b w:val="0"/>
          <w:bCs w:val="0"/>
          <w:sz w:val="24"/>
          <w:szCs w:val="20"/>
          <w:lang w:val="en-US" w:eastAsia="zh-CN"/>
        </w:rPr>
        <w:t xml:space="preserve">易腐 + </w:t>
      </w:r>
      <w:r>
        <w:rPr>
          <w:rFonts w:hint="default" w:ascii="仿宋" w:hAnsi="仿宋" w:eastAsia="仿宋" w:cs="仿宋"/>
          <w:b w:val="0"/>
          <w:bCs w:val="0"/>
          <w:sz w:val="24"/>
          <w:szCs w:val="20"/>
          <w:lang w:val="en-US" w:eastAsia="zh-CN"/>
        </w:rPr>
        <w:t>3</w:t>
      </w:r>
      <w:r>
        <w:rPr>
          <w:rFonts w:hint="eastAsia" w:ascii="仿宋" w:hAnsi="仿宋" w:eastAsia="仿宋" w:cs="仿宋"/>
          <w:b w:val="0"/>
          <w:bCs w:val="0"/>
          <w:sz w:val="24"/>
          <w:szCs w:val="20"/>
          <w:lang w:val="en-US" w:eastAsia="zh-CN"/>
        </w:rPr>
        <w:t xml:space="preserve">其他 +1有害） </w:t>
      </w:r>
    </w:p>
    <w:p>
      <w:pPr>
        <w:rPr>
          <w:rFonts w:hint="eastAsia"/>
          <w:lang w:val="en-US" w:eastAsia="zh-CN"/>
        </w:rPr>
      </w:pPr>
    </w:p>
    <w:p>
      <w:pPr>
        <w:pStyle w:val="24"/>
        <w:keepNext w:val="0"/>
        <w:keepLines w:val="0"/>
        <w:widowControl/>
        <w:suppressLineNumbers w:val="0"/>
        <w:jc w:val="center"/>
      </w:pPr>
      <w:r>
        <w:rPr>
          <w:rFonts w:hint="eastAsia" w:ascii="仿宋" w:hAnsi="仿宋" w:eastAsia="仿宋" w:cs="仿宋"/>
          <w:b/>
          <w:bCs/>
          <w:sz w:val="24"/>
          <w:szCs w:val="32"/>
          <w:lang w:val="en-US" w:eastAsia="zh-CN"/>
        </w:rPr>
        <w:t>2、地面点位二（</w:t>
      </w:r>
      <w:r>
        <w:rPr>
          <w:rFonts w:hint="default" w:ascii="仿宋" w:hAnsi="仿宋" w:eastAsia="仿宋" w:cs="仿宋"/>
          <w:b/>
          <w:bCs/>
          <w:sz w:val="24"/>
          <w:szCs w:val="32"/>
          <w:lang w:val="en-US" w:eastAsia="zh-CN"/>
        </w:rPr>
        <w:t>6</w:t>
      </w:r>
      <w:r>
        <w:rPr>
          <w:rFonts w:hint="eastAsia" w:ascii="仿宋" w:hAnsi="仿宋" w:eastAsia="仿宋" w:cs="仿宋"/>
          <w:b/>
          <w:bCs/>
          <w:sz w:val="24"/>
          <w:szCs w:val="32"/>
          <w:lang w:val="en-US" w:eastAsia="zh-CN"/>
        </w:rPr>
        <w:t>投口）- 布局图</w:t>
      </w:r>
      <w:r>
        <w:drawing>
          <wp:inline distT="0" distB="0" distL="114300" distR="114300">
            <wp:extent cx="5233035" cy="4015105"/>
            <wp:effectExtent l="0" t="0" r="5715" b="4445"/>
            <wp:docPr id="11" name="图片 11" descr="微信截图_20240301134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截图_2024030113465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3035" cy="401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jc w:val="both"/>
        <w:rPr>
          <w:rFonts w:hint="default" w:ascii="仿宋" w:hAnsi="仿宋" w:eastAsia="仿宋" w:cs="仿宋"/>
          <w:b/>
          <w:bCs/>
          <w:sz w:val="24"/>
          <w:szCs w:val="32"/>
          <w:lang w:val="en-US" w:eastAsia="zh-CN"/>
        </w:rPr>
      </w:pPr>
    </w:p>
    <w:p>
      <w:pPr>
        <w:pStyle w:val="2"/>
        <w:numPr>
          <w:ilvl w:val="0"/>
          <w:numId w:val="0"/>
        </w:numPr>
        <w:jc w:val="center"/>
        <w:rPr>
          <w:rFonts w:hint="default"/>
          <w:b/>
          <w:bCs/>
          <w:sz w:val="22"/>
          <w:szCs w:val="1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32"/>
          <w:lang w:val="en-US" w:eastAsia="zh-CN"/>
        </w:rPr>
        <w:t>3、地面驿站（4投口）- 效果图</w:t>
      </w:r>
    </w:p>
    <w:p>
      <w:pPr>
        <w:pStyle w:val="2"/>
        <w:jc w:val="center"/>
        <w:rPr>
          <w:rFonts w:hint="eastAsia" w:ascii="仿宋" w:hAnsi="仿宋" w:eastAsia="仿宋" w:cs="仿宋"/>
          <w:lang w:val="en-US" w:eastAsia="zh-CN"/>
        </w:rPr>
      </w:pPr>
      <w:r>
        <w:drawing>
          <wp:inline distT="0" distB="0" distL="114300" distR="114300">
            <wp:extent cx="5235575" cy="3594735"/>
            <wp:effectExtent l="0" t="0" r="3175" b="571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pStyle w:val="2"/>
        <w:jc w:val="center"/>
        <w:rPr>
          <w:rFonts w:hint="eastAsia" w:ascii="仿宋" w:hAnsi="仿宋" w:eastAsia="仿宋" w:cs="仿宋"/>
          <w:b w:val="0"/>
          <w:bCs w:val="0"/>
          <w:sz w:val="24"/>
          <w:szCs w:val="2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0"/>
          <w:lang w:val="en-US" w:eastAsia="zh-CN"/>
        </w:rPr>
        <w:t xml:space="preserve">实地效果图（2易腐 + 2其他 +1有害） </w:t>
      </w:r>
    </w:p>
    <w:p>
      <w:pPr>
        <w:pStyle w:val="2"/>
        <w:numPr>
          <w:ilvl w:val="0"/>
          <w:numId w:val="0"/>
        </w:numPr>
        <w:jc w:val="center"/>
        <w:rPr>
          <w:rFonts w:hint="default"/>
          <w:b/>
          <w:bCs/>
          <w:sz w:val="22"/>
          <w:szCs w:val="1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32"/>
          <w:lang w:val="en-US" w:eastAsia="zh-CN"/>
        </w:rPr>
        <w:t>3、地面驿站（4投口）- 布局图</w:t>
      </w:r>
    </w:p>
    <w:p>
      <w:pPr>
        <w:pStyle w:val="2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4441190" cy="3108325"/>
            <wp:effectExtent l="0" t="0" r="16510" b="1587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41190" cy="310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</w:pPr>
      <w:bookmarkStart w:id="7" w:name="_Toc24771"/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br w:type="page"/>
      </w:r>
    </w:p>
    <w:p>
      <w:pPr>
        <w:numPr>
          <w:ilvl w:val="0"/>
          <w:numId w:val="3"/>
        </w:numPr>
        <w:spacing w:beforeLines="50" w:afterLines="50" w:line="360" w:lineRule="auto"/>
        <w:jc w:val="left"/>
        <w:outlineLvl w:val="1"/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t>智能垃圾分类厢房功能配置</w:t>
      </w:r>
      <w:bookmarkEnd w:id="7"/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-62" w:leftChars="0" w:firstLine="482" w:firstLineChars="0"/>
        <w:textAlignment w:val="auto"/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  <w:t>智能投口设备。设备投口采用整体封闭式挡板，防止有人恶意盗窃桶内垃圾；设备采用电动自动开关门模式，可进行免接触垃圾投放；设备设置智能防夹手装置，有效避免投口关闭时夹伤手部，安全便捷；易腐垃圾箱体内部配备有除臭杀菌模块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-62" w:leftChars="0" w:firstLine="482" w:firstLineChars="0"/>
        <w:textAlignment w:val="auto"/>
        <w:rPr>
          <w:rFonts w:hint="default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  <w:t>智能蓝牙称重设备。设备安装有数字化称重模块，能够对每次投递的垃圾进行智能化称重，并采用数字信号进行信息处理，及时反馈给服务器，并根据系统设置的兑换规则，给予用户返还相应的积分。最大称重300KG、精度100G；称重量程0-300KG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-62" w:leftChars="0" w:firstLine="482" w:firstLineChars="0"/>
        <w:textAlignment w:val="auto"/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  <w:t>称重数据上传系统。在投递后可自动上传数据至主管部门的监管平台。</w:t>
      </w: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-62" w:leftChars="0" w:firstLine="482" w:firstLineChars="0"/>
        <w:textAlignment w:val="auto"/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  <w:t>智能中控机。中控机配备21.5寸液晶触摸屏，支持多点电容触摸。设备支持人脸识别、微信二维码、手机扫码、NFC刷卡四种登陆方式。设备内部设有红外线探测满载探头，可及时进行满桶提醒，避免满桶率误报现象。</w:t>
      </w: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-62" w:leftChars="0" w:firstLine="482" w:firstLineChars="0"/>
        <w:textAlignment w:val="auto"/>
        <w:rPr>
          <w:rFonts w:hint="default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  <w:t>带有有害垃圾收纳箱的洗手台。</w:t>
      </w: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-62" w:leftChars="0" w:firstLine="482" w:firstLineChars="0"/>
        <w:textAlignment w:val="auto"/>
        <w:rPr>
          <w:rFonts w:hint="default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  <w:t>发袋机。可在设置的积分规则下，根据垃圾重量或投放次数对投递用户分配获取相应的积分。居民获得的积分，可以在线上积分商城兑换商品、礼品。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-62" w:leftChars="0" w:firstLine="482" w:firstLineChars="0"/>
        <w:textAlignment w:val="auto"/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  <w:t>语音播报设备。居民进行垃圾投放时可进行相应的语音提示。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-62" w:leftChars="0" w:firstLine="482" w:firstLineChars="0"/>
        <w:textAlignment w:val="auto"/>
        <w:rPr>
          <w:rFonts w:hint="default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  <w:t>400万像素安防视频监控。可有效监督居民垃圾投递情况，还可对设备的安全及运行情况进行实时监控。</w:t>
      </w: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-62" w:leftChars="0" w:firstLine="482" w:firstLineChars="0"/>
        <w:textAlignment w:val="auto"/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  <w:t>灭蚊设备。厢房内配备灭蚊灭蝇灯，可有效防止蚊蝇滋生。</w:t>
      </w: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-62" w:leftChars="0" w:firstLine="482" w:firstLineChars="0"/>
        <w:textAlignment w:val="auto"/>
        <w:rPr>
          <w:rFonts w:hint="default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  <w:t>除臭杀菌香氛系统。厢房内配备挂墙式香氛系统，采用环保植物除臭液或等离子催化等除臭技术，有效除臭面积 10-40 ㎡，异味去除率≥95%。</w:t>
      </w: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-62" w:leftChars="0" w:firstLine="482" w:firstLineChars="0"/>
        <w:textAlignment w:val="auto"/>
        <w:rPr>
          <w:rFonts w:hint="default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  <w:t>空调设备。配备空调设备，功率:1.5匹，能效等级三级及以上。</w:t>
      </w: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-62" w:leftChars="0" w:firstLine="482" w:firstLineChars="0"/>
        <w:textAlignment w:val="auto"/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  <w:t>桶内AI易腐垃圾识别。可通过AI监管对易腐垃圾进行拍照识别。</w:t>
      </w: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-62" w:leftChars="0" w:firstLine="482" w:firstLineChars="0"/>
        <w:textAlignment w:val="auto"/>
        <w:rPr>
          <w:rFonts w:hint="default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  <w:t>桶外AI行为识别。可通过行为识别方式对不文明、不规范的投递行为进行识别及记录。</w:t>
      </w: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-62" w:leftChars="0" w:firstLine="482" w:firstLineChars="0"/>
        <w:textAlignment w:val="auto"/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  <w:t>小蓝亭监管系统平台。平台为自主开发，具备数据存储、数据上传等数据监管、展示及推送功能，可根据主管单位要求上传各类分类投递数据，对接各类主管平监管台。</w:t>
      </w: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-62" w:leftChars="0" w:firstLine="482" w:firstLineChars="0"/>
        <w:textAlignment w:val="auto"/>
        <w:rPr>
          <w:rFonts w:hint="default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  <w:t>数据屏幕显示。展示当日投递数据，违规投递记录，清运时间，广告宣传，监控画面等。</w:t>
      </w: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-62" w:leftChars="0" w:firstLine="482" w:firstLineChars="0"/>
        <w:textAlignment w:val="auto"/>
        <w:rPr>
          <w:rFonts w:hint="eastAsia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  <w:highlight w:val="none"/>
          <w:lang w:val="en-US" w:eastAsia="zh-CN"/>
        </w:rPr>
        <w:t>厢房定制玻璃门，平时可上锁，确保厢房内设备设施安全。</w:t>
      </w:r>
    </w:p>
    <w:p>
      <w:pPr>
        <w:numPr>
          <w:ilvl w:val="0"/>
          <w:numId w:val="0"/>
        </w:numPr>
        <w:spacing w:beforeLines="50" w:afterLines="50" w:line="360" w:lineRule="auto"/>
        <w:jc w:val="left"/>
        <w:outlineLvl w:val="1"/>
        <w:rPr>
          <w:rFonts w:hint="default" w:ascii="仿宋" w:hAnsi="仿宋" w:eastAsia="仿宋" w:cs="仿宋"/>
          <w:b/>
          <w:bCs/>
          <w:sz w:val="28"/>
          <w:szCs w:val="36"/>
          <w:lang w:val="en-US" w:eastAsia="zh-CN"/>
        </w:rPr>
      </w:pPr>
      <w:bookmarkStart w:id="8" w:name="_Toc16446"/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t>（六）地面大件垃圾堆放处</w:t>
      </w:r>
      <w:bookmarkEnd w:id="8"/>
    </w:p>
    <w:p>
      <w:pPr>
        <w:jc w:val="center"/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29225" cy="2939415"/>
            <wp:effectExtent l="0" t="0" r="9525" b="13335"/>
            <wp:docPr id="2" name="图片 2" descr="b4326c920a8b9fa1ac3f5bd4f9120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4326c920a8b9fa1ac3f5bd4f9120de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293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30495" cy="3447415"/>
            <wp:effectExtent l="0" t="0" r="8255" b="635"/>
            <wp:docPr id="3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0495" cy="344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562" w:firstLineChars="200"/>
        <w:jc w:val="left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color w:val="231F20"/>
          <w:kern w:val="0"/>
          <w:sz w:val="28"/>
          <w:szCs w:val="28"/>
          <w:lang w:val="en-US" w:eastAsia="zh-CN" w:bidi="ar"/>
        </w:rPr>
        <w:t>备注说明：</w:t>
      </w:r>
      <w:r>
        <w:rPr>
          <w:rFonts w:hint="eastAsia" w:ascii="仿宋" w:hAnsi="仿宋" w:eastAsia="仿宋" w:cs="仿宋"/>
          <w:color w:val="231F20"/>
          <w:kern w:val="0"/>
          <w:sz w:val="28"/>
          <w:szCs w:val="28"/>
          <w:lang w:val="en-US" w:eastAsia="zh-CN" w:bidi="ar"/>
        </w:rPr>
        <w:t>本项目地面大件垃圾堆放处约30㎡，高度约3.5米。内部按照规定分隔为大件垃圾、园林垃圾、装修垃圾。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left"/>
        <w:textAlignment w:val="auto"/>
        <w:rPr>
          <w:rFonts w:hint="eastAsia" w:ascii="仿宋" w:hAnsi="仿宋" w:eastAsia="仿宋" w:cs="仿宋"/>
          <w:b/>
          <w:bCs/>
          <w:lang w:val="en-US" w:eastAsia="zh-CN"/>
        </w:rPr>
      </w:pPr>
      <w:r>
        <w:rPr>
          <w:rFonts w:hint="eastAsia" w:ascii="仿宋" w:hAnsi="仿宋" w:eastAsia="仿宋" w:cs="仿宋"/>
          <w:color w:val="231F20"/>
          <w:kern w:val="0"/>
          <w:sz w:val="28"/>
          <w:szCs w:val="28"/>
          <w:lang w:val="en-US" w:eastAsia="zh-CN" w:bidi="ar"/>
        </w:rPr>
        <w:t>垃圾处理点内部装修及设备安装满足垃圾办及环卫处的规范要求。</w:t>
      </w:r>
    </w:p>
    <w:p>
      <w:pPr>
        <w:numPr>
          <w:ilvl w:val="0"/>
          <w:numId w:val="0"/>
        </w:numPr>
        <w:spacing w:beforeLines="50" w:afterLines="50" w:line="360" w:lineRule="auto"/>
        <w:jc w:val="left"/>
        <w:outlineLvl w:val="1"/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</w:pPr>
      <w:bookmarkStart w:id="9" w:name="_Toc10243"/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t>（七）地面大件垃圾房功能配置</w:t>
      </w:r>
      <w:bookmarkEnd w:id="9"/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仿宋" w:hAnsi="仿宋" w:eastAsia="仿宋" w:cs="仿宋"/>
          <w:b w:val="0"/>
          <w:bCs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8"/>
          <w:szCs w:val="28"/>
          <w:highlight w:val="none"/>
          <w:lang w:val="en-US" w:eastAsia="zh-CN"/>
        </w:rPr>
        <w:t>独立卷帘门。每间大件垃圾房配备独立卷帘门装置，可有效保证垃圾厢房内物资物料安全，并可进行独立分控管理。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仿宋" w:hAnsi="仿宋" w:eastAsia="仿宋" w:cs="仿宋"/>
          <w:b w:val="0"/>
          <w:bCs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8"/>
          <w:szCs w:val="28"/>
          <w:highlight w:val="none"/>
          <w:lang w:val="en-US" w:eastAsia="zh-CN"/>
        </w:rPr>
        <w:t>喷淋降尘装置。大件垃圾房标配喷淋降尘系统，可在大件及建筑垃圾堆放过程中进行有效环保降尘。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560" w:firstLineChars="200"/>
        <w:textAlignment w:val="auto"/>
        <w:rPr>
          <w:rFonts w:hint="default" w:ascii="仿宋" w:hAnsi="仿宋" w:eastAsia="仿宋" w:cs="仿宋"/>
          <w:b w:val="0"/>
          <w:bCs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8"/>
          <w:szCs w:val="28"/>
          <w:highlight w:val="none"/>
          <w:lang w:val="en-US" w:eastAsia="zh-CN"/>
        </w:rPr>
        <w:t>400万像素安防视频监控。可有效监督垃圾投递及堆放情况，还可对设备的安全及运行情况进行实时监控。</w:t>
      </w:r>
    </w:p>
    <w:p>
      <w:pPr>
        <w:rPr>
          <w:rFonts w:hint="eastAsia" w:ascii="仿宋" w:hAnsi="仿宋" w:eastAsia="仿宋" w:cs="仿宋"/>
          <w:b/>
          <w:bCs w:val="0"/>
        </w:rPr>
      </w:pPr>
      <w:bookmarkStart w:id="10" w:name="_Toc12325"/>
      <w:r>
        <w:rPr>
          <w:rFonts w:hint="eastAsia" w:ascii="仿宋" w:hAnsi="仿宋" w:eastAsia="仿宋" w:cs="仿宋"/>
          <w:b/>
          <w:bCs w:val="0"/>
        </w:rPr>
        <w:br w:type="page"/>
      </w:r>
    </w:p>
    <w:p>
      <w:pPr>
        <w:pStyle w:val="3"/>
        <w:numPr>
          <w:ilvl w:val="0"/>
          <w:numId w:val="2"/>
        </w:numPr>
        <w:spacing w:line="360" w:lineRule="auto"/>
        <w:outlineLvl w:val="0"/>
        <w:rPr>
          <w:rFonts w:hint="eastAsia" w:ascii="仿宋" w:hAnsi="仿宋" w:eastAsia="仿宋" w:cs="仿宋"/>
          <w:b/>
          <w:bCs w:val="0"/>
        </w:rPr>
      </w:pPr>
      <w:r>
        <w:rPr>
          <w:rFonts w:hint="eastAsia" w:ascii="仿宋" w:hAnsi="仿宋" w:eastAsia="仿宋" w:cs="仿宋"/>
          <w:b/>
          <w:bCs w:val="0"/>
        </w:rPr>
        <w:t>垃圾分类清运</w:t>
      </w:r>
      <w:bookmarkEnd w:id="10"/>
    </w:p>
    <w:p>
      <w:pPr>
        <w:spacing w:beforeLines="50" w:afterLines="50" w:line="360" w:lineRule="auto"/>
        <w:ind w:firstLine="560"/>
        <w:jc w:val="left"/>
        <w:rPr>
          <w:rFonts w:hint="eastAsia" w:ascii="仿宋" w:hAnsi="仿宋" w:eastAsia="仿宋" w:cs="仿宋"/>
          <w:kern w:val="0"/>
          <w:sz w:val="28"/>
          <w:szCs w:val="28"/>
          <w:highlight w:val="yellow"/>
        </w:rPr>
      </w:pPr>
      <w:r>
        <w:rPr>
          <w:rFonts w:hint="eastAsia" w:ascii="仿宋" w:hAnsi="仿宋" w:eastAsia="仿宋" w:cs="仿宋"/>
          <w:kern w:val="0"/>
          <w:sz w:val="28"/>
          <w:szCs w:val="28"/>
          <w:highlight w:val="none"/>
        </w:rPr>
        <w:t>地下室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  <w:lang w:val="en-US" w:eastAsia="zh-CN"/>
        </w:rPr>
        <w:t>垃圾分类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</w:rPr>
        <w:t>点位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  <w:lang w:val="en-US" w:eastAsia="zh-CN"/>
        </w:rPr>
        <w:t>上的垃圾清运方式均为由专业垃圾清运车从点位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</w:rPr>
        <w:t>上直接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  <w:lang w:val="en-US" w:eastAsia="zh-CN"/>
        </w:rPr>
        <w:t>进行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</w:rPr>
        <w:t>清运。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  <w:lang w:val="en-US" w:eastAsia="zh-CN"/>
        </w:rPr>
        <w:t>清运路线详见如下垃圾清运路线图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</w:rPr>
        <w:t>。</w:t>
      </w:r>
    </w:p>
    <w:p>
      <w:pPr>
        <w:pStyle w:val="2"/>
        <w:rPr>
          <w:rFonts w:hint="eastAsia" w:ascii="仿宋" w:hAnsi="仿宋" w:eastAsia="仿宋" w:cs="仿宋"/>
          <w:kern w:val="0"/>
          <w:sz w:val="24"/>
          <w:highlight w:val="yellow"/>
        </w:rPr>
      </w:pPr>
    </w:p>
    <w:p>
      <w:pPr>
        <w:rPr>
          <w:rFonts w:hint="eastAsia" w:ascii="仿宋" w:hAnsi="仿宋" w:eastAsia="仿宋" w:cs="仿宋"/>
          <w:kern w:val="0"/>
          <w:sz w:val="24"/>
          <w:highlight w:val="yellow"/>
        </w:rPr>
      </w:pPr>
      <w:r>
        <w:drawing>
          <wp:inline distT="0" distB="0" distL="114300" distR="114300">
            <wp:extent cx="5238115" cy="3675380"/>
            <wp:effectExtent l="0" t="0" r="635" b="127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367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jc w:val="center"/>
        <w:rPr>
          <w:rFonts w:hint="eastAsia" w:ascii="仿宋" w:hAnsi="仿宋" w:eastAsia="仿宋" w:cs="仿宋"/>
          <w:kern w:val="0"/>
          <w:sz w:val="24"/>
          <w:highlight w:val="yellow"/>
        </w:rPr>
      </w:pPr>
      <w:r>
        <w:rPr>
          <w:rFonts w:hint="eastAsia" w:ascii="仿宋" w:hAnsi="仿宋" w:eastAsia="仿宋" w:cs="仿宋"/>
          <w:kern w:val="0"/>
          <w:sz w:val="24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kern w:val="0"/>
          <w:sz w:val="24"/>
          <w:highlight w:val="none"/>
          <w:lang w:val="en-US" w:eastAsia="zh-CN"/>
        </w:rPr>
        <w:t>垃圾清运路线图</w:t>
      </w:r>
      <w:r>
        <w:rPr>
          <w:rFonts w:hint="eastAsia" w:ascii="仿宋" w:hAnsi="仿宋" w:eastAsia="仿宋" w:cs="仿宋"/>
          <w:kern w:val="0"/>
          <w:sz w:val="24"/>
          <w:highlight w:val="none"/>
          <w:lang w:eastAsia="zh-CN"/>
        </w:rPr>
        <w:t>）</w:t>
      </w:r>
    </w:p>
    <w:p>
      <w:pPr>
        <w:pStyle w:val="2"/>
        <w:jc w:val="center"/>
        <w:rPr>
          <w:rFonts w:hint="eastAsia" w:eastAsiaTheme="minorEastAsia"/>
          <w:lang w:eastAsia="zh-CN"/>
        </w:rPr>
      </w:pPr>
    </w:p>
    <w:p>
      <w:pPr>
        <w:rPr>
          <w:rFonts w:hint="eastAsia" w:ascii="仿宋" w:hAnsi="仿宋" w:eastAsia="仿宋" w:cs="仿宋"/>
          <w:b/>
          <w:bCs w:val="0"/>
        </w:rPr>
      </w:pPr>
      <w:bookmarkStart w:id="11" w:name="_Toc13856"/>
      <w:r>
        <w:rPr>
          <w:rFonts w:hint="eastAsia" w:ascii="仿宋" w:hAnsi="仿宋" w:eastAsia="仿宋" w:cs="仿宋"/>
          <w:b/>
          <w:bCs w:val="0"/>
          <w:lang w:val="en-US" w:eastAsia="zh-CN"/>
        </w:rPr>
        <w:br w:type="page"/>
      </w:r>
    </w:p>
    <w:p>
      <w:pPr>
        <w:pStyle w:val="3"/>
        <w:numPr>
          <w:ilvl w:val="0"/>
          <w:numId w:val="2"/>
        </w:numPr>
        <w:spacing w:line="360" w:lineRule="auto"/>
        <w:outlineLvl w:val="0"/>
        <w:rPr>
          <w:rFonts w:hint="eastAsia" w:ascii="仿宋" w:hAnsi="仿宋" w:eastAsia="仿宋" w:cs="仿宋"/>
          <w:b/>
          <w:bCs w:val="0"/>
        </w:rPr>
      </w:pPr>
      <w:r>
        <w:rPr>
          <w:rFonts w:hint="eastAsia" w:ascii="仿宋" w:hAnsi="仿宋" w:eastAsia="仿宋" w:cs="仿宋"/>
          <w:b/>
          <w:bCs w:val="0"/>
          <w:lang w:val="en-US" w:eastAsia="zh-CN"/>
        </w:rPr>
        <w:t>小区内宣传内容</w:t>
      </w:r>
      <w:bookmarkEnd w:id="11"/>
    </w:p>
    <w:p>
      <w:pPr>
        <w:numPr>
          <w:ilvl w:val="0"/>
          <w:numId w:val="7"/>
        </w:numPr>
        <w:spacing w:beforeLines="50" w:afterLines="50" w:line="360" w:lineRule="auto"/>
        <w:jc w:val="left"/>
        <w:outlineLvl w:val="1"/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</w:pPr>
      <w:bookmarkStart w:id="12" w:name="_Toc29434"/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t>垃圾分类宣传公告栏</w:t>
      </w:r>
      <w:bookmarkEnd w:id="12"/>
    </w:p>
    <w:p>
      <w:pPr>
        <w:pStyle w:val="2"/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24145" cy="2421255"/>
            <wp:effectExtent l="0" t="0" r="14605" b="17145"/>
            <wp:docPr id="33" name="图片 33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图片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24145" cy="242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24"/>
          <w:szCs w:val="32"/>
          <w:lang w:val="en-US" w:eastAsia="zh-CN"/>
        </w:rPr>
      </w:pPr>
      <w:r>
        <w:rPr>
          <w:rFonts w:hint="eastAsia" w:ascii="仿宋" w:hAnsi="仿宋" w:eastAsia="仿宋" w:cs="仿宋"/>
          <w:sz w:val="24"/>
          <w:szCs w:val="32"/>
          <w:lang w:val="en-US" w:eastAsia="zh-CN"/>
        </w:rPr>
        <w:t>内容包含：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小区内垃圾分类投放点点位图（包括生活垃圾厢房、大件垃圾）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小区内垃圾分类管理三级责任制。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sz w:val="22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小区内四类垃圾的收运联系人、联系方式、收运投放时间条例等。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sz w:val="22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小区内分类楼道评比榜。</w:t>
      </w:r>
    </w:p>
    <w:p>
      <w:pPr>
        <w:pStyle w:val="2"/>
        <w:rPr>
          <w:rFonts w:hint="eastAsia" w:ascii="仿宋" w:hAnsi="仿宋" w:eastAsia="仿宋" w:cs="仿宋"/>
          <w:sz w:val="28"/>
          <w:szCs w:val="28"/>
          <w:lang w:val="en-US" w:eastAsia="zh-CN"/>
        </w:rPr>
      </w:pPr>
    </w:p>
    <w:p>
      <w:pPr>
        <w:rPr>
          <w:rFonts w:hint="eastAsia" w:ascii="仿宋" w:hAnsi="仿宋" w:eastAsia="仿宋" w:cs="仿宋"/>
          <w:sz w:val="28"/>
          <w:szCs w:val="28"/>
          <w:lang w:val="en-US" w:eastAsia="zh-CN"/>
        </w:rPr>
      </w:pPr>
    </w:p>
    <w:p>
      <w:pPr>
        <w:pStyle w:val="2"/>
        <w:rPr>
          <w:rFonts w:hint="eastAsia" w:ascii="仿宋" w:hAnsi="仿宋" w:eastAsia="仿宋" w:cs="仿宋"/>
          <w:sz w:val="28"/>
          <w:szCs w:val="28"/>
          <w:lang w:val="en-US" w:eastAsia="zh-CN"/>
        </w:rPr>
      </w:pPr>
    </w:p>
    <w:p>
      <w:pPr>
        <w:rPr>
          <w:rFonts w:hint="eastAsia" w:ascii="仿宋" w:hAnsi="仿宋" w:eastAsia="仿宋" w:cs="仿宋"/>
          <w:sz w:val="28"/>
          <w:szCs w:val="28"/>
          <w:lang w:val="en-US" w:eastAsia="zh-CN"/>
        </w:rPr>
      </w:pPr>
    </w:p>
    <w:p>
      <w:pPr>
        <w:pStyle w:val="2"/>
        <w:rPr>
          <w:rFonts w:hint="eastAsia" w:ascii="仿宋" w:hAnsi="仿宋" w:eastAsia="仿宋" w:cs="仿宋"/>
          <w:sz w:val="28"/>
          <w:szCs w:val="28"/>
          <w:lang w:val="en-US" w:eastAsia="zh-CN"/>
        </w:rPr>
      </w:pPr>
    </w:p>
    <w:p>
      <w:pPr>
        <w:rPr>
          <w:rFonts w:hint="eastAsia" w:ascii="仿宋" w:hAnsi="仿宋" w:eastAsia="仿宋" w:cs="仿宋"/>
          <w:sz w:val="28"/>
          <w:szCs w:val="28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numPr>
          <w:ilvl w:val="0"/>
          <w:numId w:val="7"/>
        </w:numPr>
        <w:spacing w:beforeLines="50" w:afterLines="50" w:line="360" w:lineRule="auto"/>
        <w:jc w:val="left"/>
        <w:outlineLvl w:val="1"/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</w:pPr>
      <w:bookmarkStart w:id="13" w:name="_Toc4666"/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t>垃圾分类楼道宣传、荣誉榜</w:t>
      </w:r>
      <w:bookmarkEnd w:id="13"/>
    </w:p>
    <w:p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3938270" cy="2759710"/>
            <wp:effectExtent l="0" t="0" r="8890" b="1397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38270" cy="275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sz w:val="24"/>
          <w:szCs w:val="32"/>
          <w:lang w:val="en-US" w:eastAsia="zh-CN"/>
        </w:rPr>
      </w:pPr>
      <w:r>
        <w:rPr>
          <w:rFonts w:hint="eastAsia" w:ascii="仿宋" w:hAnsi="仿宋" w:eastAsia="仿宋" w:cs="仿宋"/>
          <w:sz w:val="24"/>
          <w:szCs w:val="32"/>
          <w:lang w:val="en-US" w:eastAsia="zh-CN"/>
        </w:rPr>
        <w:t>荣誉榜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27320" cy="3475990"/>
            <wp:effectExtent l="0" t="0" r="0" b="13970"/>
            <wp:docPr id="4" name="图片 4" descr="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6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27320" cy="347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center"/>
        <w:rPr>
          <w:rFonts w:hint="eastAsia" w:ascii="仿宋" w:hAnsi="仿宋" w:eastAsia="仿宋" w:cs="仿宋"/>
          <w:sz w:val="24"/>
          <w:szCs w:val="32"/>
          <w:lang w:val="en-US" w:eastAsia="zh-CN"/>
        </w:rPr>
      </w:pPr>
      <w:r>
        <w:rPr>
          <w:rFonts w:hint="eastAsia" w:ascii="仿宋" w:hAnsi="仿宋" w:eastAsia="仿宋" w:cs="仿宋"/>
          <w:sz w:val="24"/>
          <w:szCs w:val="32"/>
          <w:lang w:val="en-US" w:eastAsia="zh-CN"/>
        </w:rPr>
        <w:t>宣传内容</w:t>
      </w:r>
    </w:p>
    <w:p>
      <w:pPr>
        <w:rPr>
          <w:rFonts w:hint="eastAsia" w:ascii="仿宋" w:hAnsi="仿宋" w:eastAsia="仿宋" w:cs="仿宋"/>
          <w:sz w:val="24"/>
          <w:szCs w:val="32"/>
          <w:lang w:val="en-US" w:eastAsia="zh-CN"/>
        </w:rPr>
      </w:pPr>
    </w:p>
    <w:p>
      <w:pPr>
        <w:pStyle w:val="2"/>
        <w:rPr>
          <w:rFonts w:hint="eastAsia" w:ascii="仿宋" w:hAnsi="仿宋" w:eastAsia="仿宋" w:cs="仿宋"/>
          <w:sz w:val="24"/>
          <w:szCs w:val="32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32"/>
          <w:lang w:val="en-US" w:eastAsia="zh-CN"/>
        </w:rPr>
      </w:pPr>
    </w:p>
    <w:p>
      <w:pPr>
        <w:pStyle w:val="2"/>
        <w:rPr>
          <w:rFonts w:hint="eastAsia" w:ascii="仿宋" w:hAnsi="仿宋" w:eastAsia="仿宋" w:cs="仿宋"/>
          <w:sz w:val="24"/>
          <w:szCs w:val="32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32"/>
          <w:lang w:val="en-US" w:eastAsia="zh-CN"/>
        </w:rPr>
      </w:pPr>
    </w:p>
    <w:p>
      <w:pPr>
        <w:pStyle w:val="2"/>
        <w:rPr>
          <w:rFonts w:hint="eastAsia" w:ascii="仿宋" w:hAnsi="仿宋" w:eastAsia="仿宋" w:cs="仿宋"/>
          <w:sz w:val="24"/>
          <w:szCs w:val="32"/>
          <w:lang w:val="en-US" w:eastAsia="zh-CN"/>
        </w:rPr>
      </w:pPr>
    </w:p>
    <w:p>
      <w:pPr>
        <w:numPr>
          <w:ilvl w:val="0"/>
          <w:numId w:val="2"/>
        </w:numPr>
        <w:ind w:left="0" w:leftChars="0" w:firstLine="0" w:firstLineChars="0"/>
        <w:rPr>
          <w:rFonts w:hint="eastAsia" w:ascii="仿宋" w:hAnsi="仿宋" w:eastAsia="仿宋" w:cs="仿宋"/>
          <w:sz w:val="44"/>
          <w:szCs w:val="44"/>
          <w:lang w:val="en-US" w:eastAsia="zh-CN"/>
        </w:rPr>
      </w:pPr>
      <w:r>
        <w:rPr>
          <w:rFonts w:hint="eastAsia" w:ascii="仿宋" w:hAnsi="仿宋" w:eastAsia="仿宋" w:cs="仿宋"/>
          <w:sz w:val="44"/>
          <w:szCs w:val="44"/>
          <w:lang w:val="en-US" w:eastAsia="zh-CN"/>
        </w:rPr>
        <w:t>垃圾房点位明细内容</w:t>
      </w:r>
    </w:p>
    <w:tbl>
      <w:tblPr>
        <w:tblStyle w:val="25"/>
        <w:tblpPr w:leftFromText="180" w:rightFromText="180" w:vertAnchor="text" w:horzAnchor="page" w:tblpX="1029" w:tblpY="286"/>
        <w:tblOverlap w:val="never"/>
        <w:tblW w:w="947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60"/>
        <w:gridCol w:w="1400"/>
        <w:gridCol w:w="1600"/>
        <w:gridCol w:w="2550"/>
        <w:gridCol w:w="1340"/>
        <w:gridCol w:w="172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9470" w:type="dxa"/>
            <w:gridSpan w:val="6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DB4E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仿宋" w:hAnsi="仿宋" w:eastAsia="仿宋" w:cs="仿宋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一、生活垃圾房点位1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8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3000" w:type="dxa"/>
            <w:gridSpan w:val="2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项目名称</w:t>
            </w:r>
          </w:p>
        </w:tc>
        <w:tc>
          <w:tcPr>
            <w:tcW w:w="255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内容</w:t>
            </w:r>
          </w:p>
        </w:tc>
        <w:tc>
          <w:tcPr>
            <w:tcW w:w="134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172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860" w:type="dxa"/>
            <w:vMerge w:val="restar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点位1</w:t>
            </w:r>
          </w:p>
        </w:tc>
        <w:tc>
          <w:tcPr>
            <w:tcW w:w="1600" w:type="dxa"/>
            <w:vMerge w:val="restar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-66675</wp:posOffset>
                  </wp:positionH>
                  <wp:positionV relativeFrom="paragraph">
                    <wp:posOffset>1818640</wp:posOffset>
                  </wp:positionV>
                  <wp:extent cx="792480" cy="419735"/>
                  <wp:effectExtent l="0" t="0" r="7620" b="12065"/>
                  <wp:wrapNone/>
                  <wp:docPr id="17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_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480" cy="419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</w:p>
          <w:p>
            <w:pPr>
              <w:bidi w:val="0"/>
              <w:rPr>
                <w:rFonts w:hint="eastAsia"/>
                <w:lang w:val="en-US" w:eastAsia="zh-CN"/>
              </w:rPr>
            </w:pPr>
          </w:p>
          <w:p>
            <w:pPr>
              <w:bidi w:val="0"/>
              <w:rPr>
                <w:rFonts w:hint="eastAsia"/>
                <w:lang w:val="en-US" w:eastAsia="zh-CN"/>
              </w:rPr>
            </w:pPr>
          </w:p>
          <w:p>
            <w:pPr>
              <w:bidi w:val="0"/>
              <w:rPr>
                <w:rFonts w:hint="eastAsia"/>
                <w:lang w:val="en-US" w:eastAsia="zh-CN"/>
              </w:rPr>
            </w:pPr>
          </w:p>
          <w:p>
            <w:pPr>
              <w:bidi w:val="0"/>
              <w:rPr>
                <w:rFonts w:hint="eastAsia"/>
                <w:lang w:val="en-US" w:eastAsia="zh-CN"/>
              </w:rPr>
            </w:pPr>
          </w:p>
          <w:p>
            <w:pPr>
              <w:bidi w:val="0"/>
              <w:rPr>
                <w:rFonts w:hint="eastAsia"/>
                <w:lang w:val="en-US" w:eastAsia="zh-CN"/>
              </w:rPr>
            </w:pPr>
          </w:p>
          <w:p>
            <w:pPr>
              <w:bidi w:val="0"/>
              <w:rPr>
                <w:rFonts w:hint="eastAsia"/>
                <w:lang w:val="en-US" w:eastAsia="zh-CN"/>
              </w:rPr>
            </w:pPr>
          </w:p>
          <w:p>
            <w:pPr>
              <w:bidi w:val="0"/>
              <w:rPr>
                <w:rFonts w:hint="eastAsia"/>
                <w:lang w:val="en-US" w:eastAsia="zh-CN"/>
              </w:rPr>
            </w:pPr>
          </w:p>
          <w:p>
            <w:pPr>
              <w:bidi w:val="0"/>
              <w:rPr>
                <w:rFonts w:hint="eastAsia"/>
                <w:lang w:val="en-US" w:eastAsia="zh-CN"/>
              </w:rPr>
            </w:pPr>
          </w:p>
          <w:p>
            <w:pPr>
              <w:bidi w:val="0"/>
              <w:rPr>
                <w:rFonts w:hint="eastAsia"/>
                <w:lang w:val="en-US" w:eastAsia="zh-CN"/>
              </w:rPr>
            </w:pPr>
          </w:p>
          <w:p>
            <w:pPr>
              <w:bidi w:val="0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定制厢房*图片仅供参考*</w:t>
            </w: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厢房定制建设20㎡(房体+内部施工)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1个</w:t>
            </w:r>
          </w:p>
        </w:tc>
        <w:tc>
          <w:tcPr>
            <w:tcW w:w="172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智能6投口设备(3易腐+3其他)</w:t>
            </w:r>
          </w:p>
        </w:tc>
        <w:tc>
          <w:tcPr>
            <w:tcW w:w="1340" w:type="dxa"/>
            <w:vMerge w:val="restart"/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1套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智能6投口设备(10.1寸中控屏)</w:t>
            </w:r>
          </w:p>
        </w:tc>
        <w:tc>
          <w:tcPr>
            <w:tcW w:w="1340" w:type="dxa"/>
            <w:vMerge w:val="continue"/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智能6投口设备(6套称重系统)</w:t>
            </w:r>
          </w:p>
        </w:tc>
        <w:tc>
          <w:tcPr>
            <w:tcW w:w="1340" w:type="dxa"/>
            <w:vMerge w:val="continue"/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对接市平台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智能6投口设备(称重上传系统)</w:t>
            </w:r>
          </w:p>
        </w:tc>
        <w:tc>
          <w:tcPr>
            <w:tcW w:w="1340" w:type="dxa"/>
            <w:vMerge w:val="continue"/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对接市平台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智能6投口设备(控制箱)</w:t>
            </w:r>
          </w:p>
        </w:tc>
        <w:tc>
          <w:tcPr>
            <w:tcW w:w="1340" w:type="dxa"/>
            <w:vMerge w:val="continue"/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可回收吧台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1个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可回收垃圾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洗手台(含有害回收箱)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1个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户外显示屏（数据展示）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1个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验收要求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监控设备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1套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对接市平台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空调设备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1套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除臭灭蚊设备(含紫外线杀菌)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1套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运输、设备安装费用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1套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配套240L垃圾桶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6个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易腐垃圾AI识别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1套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桶外丢包AI识别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1套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单个厢房数据平台使用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1年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9470" w:type="dxa"/>
            <w:gridSpan w:val="6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DB4E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 xml:space="preserve">二、生活垃圾房点位2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8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3000" w:type="dxa"/>
            <w:gridSpan w:val="2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项目名称</w:t>
            </w:r>
          </w:p>
        </w:tc>
        <w:tc>
          <w:tcPr>
            <w:tcW w:w="255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内容</w:t>
            </w:r>
          </w:p>
        </w:tc>
        <w:tc>
          <w:tcPr>
            <w:tcW w:w="134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172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860" w:type="dxa"/>
            <w:vMerge w:val="restar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点位2</w:t>
            </w:r>
          </w:p>
        </w:tc>
        <w:tc>
          <w:tcPr>
            <w:tcW w:w="1600" w:type="dxa"/>
            <w:vMerge w:val="restar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  <w:p>
            <w:pPr>
              <w:bidi w:val="0"/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</w:p>
          <w:p>
            <w:pPr>
              <w:bidi w:val="0"/>
              <w:rPr>
                <w:rFonts w:hint="eastAsia"/>
                <w:lang w:val="en-US" w:eastAsia="zh-CN"/>
              </w:rPr>
            </w:pPr>
          </w:p>
          <w:p>
            <w:pPr>
              <w:bidi w:val="0"/>
              <w:rPr>
                <w:rFonts w:hint="eastAsia"/>
                <w:lang w:val="en-US" w:eastAsia="zh-CN"/>
              </w:rPr>
            </w:pPr>
          </w:p>
          <w:p>
            <w:pPr>
              <w:bidi w:val="0"/>
              <w:rPr>
                <w:rFonts w:hint="eastAsia"/>
                <w:lang w:val="en-US" w:eastAsia="zh-CN"/>
              </w:rPr>
            </w:pPr>
          </w:p>
          <w:p>
            <w:pPr>
              <w:bidi w:val="0"/>
              <w:rPr>
                <w:rFonts w:hint="eastAsia"/>
                <w:lang w:val="en-US" w:eastAsia="zh-CN"/>
              </w:rPr>
            </w:pPr>
          </w:p>
          <w:p>
            <w:pPr>
              <w:bidi w:val="0"/>
              <w:rPr>
                <w:rFonts w:hint="eastAsia"/>
                <w:lang w:val="en-US" w:eastAsia="zh-CN"/>
              </w:rPr>
            </w:pPr>
          </w:p>
          <w:p>
            <w:pPr>
              <w:bidi w:val="0"/>
              <w:rPr>
                <w:rFonts w:hint="eastAsia"/>
                <w:lang w:val="en-US" w:eastAsia="zh-CN"/>
              </w:rPr>
            </w:pPr>
          </w:p>
          <w:p>
            <w:pPr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100330</wp:posOffset>
                  </wp:positionH>
                  <wp:positionV relativeFrom="paragraph">
                    <wp:posOffset>123825</wp:posOffset>
                  </wp:positionV>
                  <wp:extent cx="726440" cy="384810"/>
                  <wp:effectExtent l="0" t="0" r="10160" b="8890"/>
                  <wp:wrapNone/>
                  <wp:docPr id="18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_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440" cy="384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rPr>
                <w:rFonts w:hint="eastAsia"/>
                <w:lang w:val="en-US" w:eastAsia="zh-CN"/>
              </w:rPr>
            </w:pPr>
          </w:p>
          <w:p>
            <w:pPr>
              <w:bidi w:val="0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定制厢房*图片仅供参考*</w:t>
            </w: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厢房定制建设20㎡(房体+内部施工)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1个</w:t>
            </w:r>
          </w:p>
        </w:tc>
        <w:tc>
          <w:tcPr>
            <w:tcW w:w="172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智能6投口设备(3易腐+3其他)</w:t>
            </w:r>
          </w:p>
        </w:tc>
        <w:tc>
          <w:tcPr>
            <w:tcW w:w="1340" w:type="dxa"/>
            <w:vMerge w:val="restart"/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1套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智能6投口设备(10.1寸中控屏)</w:t>
            </w:r>
          </w:p>
        </w:tc>
        <w:tc>
          <w:tcPr>
            <w:tcW w:w="1340" w:type="dxa"/>
            <w:vMerge w:val="continue"/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智能6投口设备(6套称重系统)</w:t>
            </w:r>
          </w:p>
        </w:tc>
        <w:tc>
          <w:tcPr>
            <w:tcW w:w="1340" w:type="dxa"/>
            <w:vMerge w:val="continue"/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对接市平台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智能6投口设备(称重上传系统)</w:t>
            </w:r>
          </w:p>
        </w:tc>
        <w:tc>
          <w:tcPr>
            <w:tcW w:w="1340" w:type="dxa"/>
            <w:vMerge w:val="continue"/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对接市平台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智能6投口设备(控制箱)</w:t>
            </w:r>
          </w:p>
        </w:tc>
        <w:tc>
          <w:tcPr>
            <w:tcW w:w="1340" w:type="dxa"/>
            <w:vMerge w:val="continue"/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洗手台(含有害回收箱)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1个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户外显示屏（数据展示）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1个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验收要求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监控设备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1套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对接市平台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空调设备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1套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除臭灭蚊设备(含紫外线杀菌)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1套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运输、安装费用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1套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配套240L垃圾桶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6个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易腐垃圾AI识别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1套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桶外丢包AI识别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1套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单个厢房数据平台使用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1年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0" w:hRule="atLeast"/>
        </w:trPr>
        <w:tc>
          <w:tcPr>
            <w:tcW w:w="9470" w:type="dxa"/>
            <w:gridSpan w:val="6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DB4E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 xml:space="preserve">三、大件垃圾房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8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3000" w:type="dxa"/>
            <w:gridSpan w:val="2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项目名称</w:t>
            </w:r>
          </w:p>
        </w:tc>
        <w:tc>
          <w:tcPr>
            <w:tcW w:w="255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内容</w:t>
            </w:r>
          </w:p>
        </w:tc>
        <w:tc>
          <w:tcPr>
            <w:tcW w:w="134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172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restar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大件垃圾房</w:t>
            </w:r>
          </w:p>
        </w:tc>
        <w:tc>
          <w:tcPr>
            <w:tcW w:w="1600" w:type="dxa"/>
            <w:vMerge w:val="restar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23495</wp:posOffset>
                  </wp:positionV>
                  <wp:extent cx="674370" cy="250190"/>
                  <wp:effectExtent l="0" t="0" r="11430" b="3810"/>
                  <wp:wrapNone/>
                  <wp:docPr id="16" name="图片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_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370" cy="250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</w:p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大件垃圾房*图片仅供参考*</w:t>
            </w: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定制建设30㎡(全包、含地面)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1个</w:t>
            </w:r>
          </w:p>
        </w:tc>
        <w:tc>
          <w:tcPr>
            <w:tcW w:w="172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内部喷淋设备</w:t>
            </w:r>
          </w:p>
        </w:tc>
        <w:tc>
          <w:tcPr>
            <w:tcW w:w="1340" w:type="dxa"/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1套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86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00" w:type="dxa"/>
            <w:vMerge w:val="continue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监控设备</w:t>
            </w:r>
          </w:p>
        </w:tc>
        <w:tc>
          <w:tcPr>
            <w:tcW w:w="134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1套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9470" w:type="dxa"/>
            <w:gridSpan w:val="6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DB4E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 xml:space="preserve">四、其他设备配件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0" w:hRule="atLeast"/>
        </w:trPr>
        <w:tc>
          <w:tcPr>
            <w:tcW w:w="860" w:type="dxa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3000" w:type="dxa"/>
            <w:gridSpan w:val="2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项目名称</w:t>
            </w:r>
          </w:p>
        </w:tc>
        <w:tc>
          <w:tcPr>
            <w:tcW w:w="255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功能</w:t>
            </w:r>
          </w:p>
        </w:tc>
        <w:tc>
          <w:tcPr>
            <w:tcW w:w="134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172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86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40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66"/>
                <w:lang w:val="en-US" w:eastAsia="zh-CN" w:bidi="ar"/>
              </w:rPr>
              <w:t>配件</w:t>
            </w:r>
          </w:p>
        </w:tc>
        <w:tc>
          <w:tcPr>
            <w:tcW w:w="160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手持终端设备</w:t>
            </w: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手持终端设备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1台</w:t>
            </w:r>
          </w:p>
        </w:tc>
        <w:tc>
          <w:tcPr>
            <w:tcW w:w="172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86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居民IC卡</w:t>
            </w: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居民IC卡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929户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86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66"/>
                <w:lang w:val="en-US" w:eastAsia="zh-CN" w:bidi="ar"/>
              </w:rPr>
              <w:t>物联网卡/3年</w:t>
            </w: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66"/>
                <w:lang w:val="en-US" w:eastAsia="zh-CN" w:bidi="ar"/>
              </w:rPr>
              <w:t>物联网卡/3年（2厢房+1手持）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3张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3年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66"/>
                <w:lang w:val="en-US" w:eastAsia="zh-CN" w:bidi="ar"/>
              </w:rPr>
              <w:t>塑料垃圾桶</w:t>
            </w: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240L垃圾桶</w:t>
            </w:r>
            <w:r>
              <w:rPr>
                <w:rStyle w:val="66"/>
                <w:lang w:val="en-US" w:eastAsia="zh-CN" w:bidi="ar"/>
              </w:rPr>
              <w:t>（备桶）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27个</w:t>
            </w:r>
          </w:p>
        </w:tc>
        <w:tc>
          <w:tcPr>
            <w:tcW w:w="172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140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临时点位</w:t>
            </w:r>
          </w:p>
        </w:tc>
        <w:tc>
          <w:tcPr>
            <w:tcW w:w="160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66"/>
                <w:lang w:val="en-US" w:eastAsia="zh-CN" w:bidi="ar"/>
              </w:rPr>
              <w:t>临时点位地面施工</w:t>
            </w:r>
          </w:p>
        </w:tc>
        <w:tc>
          <w:tcPr>
            <w:tcW w:w="255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地面硬化+贴砖（临时）</w:t>
            </w:r>
          </w:p>
        </w:tc>
        <w:tc>
          <w:tcPr>
            <w:tcW w:w="1340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10㎡</w:t>
            </w:r>
          </w:p>
        </w:tc>
        <w:tc>
          <w:tcPr>
            <w:tcW w:w="172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验收后拆走设备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66"/>
                <w:lang w:val="en-US" w:eastAsia="zh-CN" w:bidi="ar"/>
              </w:rPr>
              <w:t>临时点位设备安装</w:t>
            </w: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设备安装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1套</w:t>
            </w:r>
          </w:p>
        </w:tc>
        <w:tc>
          <w:tcPr>
            <w:tcW w:w="172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66"/>
                <w:lang w:val="en-US" w:eastAsia="zh-CN" w:bidi="ar"/>
              </w:rPr>
              <w:t>临时点位地面拆除恢复绿化</w:t>
            </w: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破除地面硬化，恢复并重铺草皮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10㎡</w:t>
            </w:r>
          </w:p>
        </w:tc>
        <w:tc>
          <w:tcPr>
            <w:tcW w:w="172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6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0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66"/>
                <w:lang w:val="en-US" w:eastAsia="zh-CN" w:bidi="ar"/>
              </w:rPr>
              <w:t>运费</w:t>
            </w:r>
          </w:p>
        </w:tc>
        <w:tc>
          <w:tcPr>
            <w:tcW w:w="255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4投口驿站设备来回运费</w:t>
            </w:r>
          </w:p>
        </w:tc>
        <w:tc>
          <w:tcPr>
            <w:tcW w:w="1340" w:type="dxa"/>
            <w:tcBorders>
              <w:top w:val="nil"/>
              <w:left w:val="nil"/>
              <w:bottom w:val="single" w:color="000000" w:sz="8" w:space="0"/>
              <w:right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1车</w:t>
            </w:r>
          </w:p>
        </w:tc>
        <w:tc>
          <w:tcPr>
            <w:tcW w:w="172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</w:tbl>
    <w:p>
      <w:pPr>
        <w:pStyle w:val="2"/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sectPr>
      <w:footerReference r:id="rId5" w:type="default"/>
      <w:pgSz w:w="11850" w:h="16783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  <w:font w:name="方正姚体简体">
    <w:altName w:val="宋体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方正小标宋简体">
    <w:altName w:val="Arial Unicode MS"/>
    <w:panose1 w:val="02010601030101010101"/>
    <w:charset w:val="86"/>
    <w:family w:val="script"/>
    <w:pitch w:val="default"/>
    <w:sig w:usb0="00000000" w:usb1="00000000" w:usb2="00000000" w:usb3="00000000" w:csb0="00040000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7"/>
      <w:jc w:val="center"/>
    </w:pPr>
  </w:p>
  <w:p>
    <w:pPr>
      <w:pStyle w:val="17"/>
      <w:tabs>
        <w:tab w:val="left" w:pos="3636"/>
        <w:tab w:val="clear" w:pos="4153"/>
      </w:tabs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7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2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17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4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0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BToXUmyQEAAJs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4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17"/>
      <w:tabs>
        <w:tab w:val="left" w:pos="3636"/>
        <w:tab w:val="clear" w:pos="4153"/>
      </w:tabs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8"/>
      <w:pBdr>
        <w:bottom w:val="single" w:color="808080" w:sz="4" w:space="1"/>
      </w:pBdr>
      <w:ind w:firstLine="360" w:firstLineChars="200"/>
      <w:jc w:val="right"/>
      <w:rPr>
        <w:rFonts w:hint="default" w:ascii="仿宋" w:hAnsi="仿宋" w:eastAsia="仿宋" w:cs="仿宋"/>
        <w:szCs w:val="18"/>
        <w:lang w:val="en-US" w:eastAsia="zh-CN"/>
      </w:rPr>
    </w:pPr>
    <w:r>
      <w:rPr>
        <w:rFonts w:hint="eastAsia" w:ascii="仿宋" w:hAnsi="仿宋" w:eastAsia="仿宋" w:cs="仿宋"/>
        <w:color w:val="595959" w:themeColor="text1" w:themeTint="A6"/>
        <w14:textFill>
          <w14:solidFill>
            <w14:schemeClr w14:val="tx1">
              <w14:lumMod w14:val="65000"/>
              <w14:lumOff w14:val="35000"/>
            </w14:schemeClr>
          </w14:solidFill>
        </w14:textFill>
      </w:rPr>
      <w:t xml:space="preserve">                                      </w:t>
    </w:r>
    <w:r>
      <w:rPr>
        <w:rFonts w:hint="eastAsia" w:ascii="仿宋" w:hAnsi="仿宋" w:eastAsia="仿宋" w:cs="仿宋"/>
        <w:color w:val="595959" w:themeColor="text1" w:themeTint="A6"/>
        <w:lang w:val="en-US" w:eastAsia="zh-CN"/>
        <w14:textFill>
          <w14:solidFill>
            <w14:schemeClr w14:val="tx1">
              <w14:lumMod w14:val="65000"/>
              <w14:lumOff w14:val="35000"/>
            </w14:schemeClr>
          </w14:solidFill>
        </w14:textFill>
      </w:rPr>
      <w:t xml:space="preserve">  </w:t>
    </w:r>
    <w:r>
      <w:rPr>
        <w:rFonts w:hint="eastAsia" w:ascii="仿宋" w:hAnsi="仿宋" w:eastAsia="仿宋" w:cs="仿宋"/>
        <w:szCs w:val="18"/>
        <w:lang w:val="en-US" w:eastAsia="zh-CN"/>
      </w:rPr>
      <w:t>嘉兴市嘉隐云庭项目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0267CDF"/>
    <w:multiLevelType w:val="singleLevel"/>
    <w:tmpl w:val="B0267CDF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BBE0057D"/>
    <w:multiLevelType w:val="singleLevel"/>
    <w:tmpl w:val="BBE0057D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DDB3F735"/>
    <w:multiLevelType w:val="singleLevel"/>
    <w:tmpl w:val="DDB3F735"/>
    <w:lvl w:ilvl="0" w:tentative="0">
      <w:start w:val="4"/>
      <w:numFmt w:val="chineseCounting"/>
      <w:suff w:val="nothing"/>
      <w:lvlText w:val="（%1）"/>
      <w:lvlJc w:val="left"/>
      <w:rPr>
        <w:rFonts w:hint="eastAsia"/>
      </w:rPr>
    </w:lvl>
  </w:abstractNum>
  <w:abstractNum w:abstractNumId="3">
    <w:nsid w:val="E76C5DF8"/>
    <w:multiLevelType w:val="singleLevel"/>
    <w:tmpl w:val="E76C5DF8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4">
    <w:nsid w:val="580D5509"/>
    <w:multiLevelType w:val="singleLevel"/>
    <w:tmpl w:val="580D5509"/>
    <w:lvl w:ilvl="0" w:tentative="0">
      <w:start w:val="1"/>
      <w:numFmt w:val="decimal"/>
      <w:suff w:val="nothing"/>
      <w:lvlText w:val="%1、"/>
      <w:lvlJc w:val="left"/>
      <w:rPr>
        <w:rFonts w:hint="default" w:ascii="仿宋" w:hAnsi="仿宋" w:eastAsia="仿宋" w:cs="仿宋"/>
      </w:rPr>
    </w:lvl>
  </w:abstractNum>
  <w:abstractNum w:abstractNumId="5">
    <w:nsid w:val="5B3F95C3"/>
    <w:multiLevelType w:val="singleLevel"/>
    <w:tmpl w:val="5B3F95C3"/>
    <w:lvl w:ilvl="0" w:tentative="0">
      <w:start w:val="1"/>
      <w:numFmt w:val="decimal"/>
      <w:suff w:val="nothing"/>
      <w:lvlText w:val="%1、"/>
      <w:lvlJc w:val="left"/>
      <w:pPr>
        <w:ind w:left="-60"/>
      </w:pPr>
      <w:rPr>
        <w:rFonts w:hint="default" w:ascii="仿宋" w:hAnsi="仿宋" w:eastAsia="仿宋" w:cs="仿宋"/>
        <w:b w:val="0"/>
        <w:bCs w:val="0"/>
        <w:sz w:val="22"/>
        <w:szCs w:val="22"/>
      </w:rPr>
    </w:lvl>
  </w:abstractNum>
  <w:abstractNum w:abstractNumId="6">
    <w:nsid w:val="64728716"/>
    <w:multiLevelType w:val="singleLevel"/>
    <w:tmpl w:val="64728716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7">
    <w:nsid w:val="7343976D"/>
    <w:multiLevelType w:val="singleLevel"/>
    <w:tmpl w:val="7343976D"/>
    <w:lvl w:ilvl="0" w:tentative="0">
      <w:start w:val="1"/>
      <w:numFmt w:val="bullet"/>
      <w:pStyle w:val="11"/>
      <w:lvlText w:val=""/>
      <w:lvlJc w:val="left"/>
      <w:pPr>
        <w:tabs>
          <w:tab w:val="left" w:pos="780"/>
        </w:tabs>
        <w:ind w:left="780" w:hanging="360"/>
      </w:pPr>
      <w:rPr>
        <w:rFonts w:hint="default" w:ascii="Wingdings" w:hAnsi="Wingdings"/>
      </w:rPr>
    </w:lvl>
  </w:abstractNum>
  <w:num w:numId="1">
    <w:abstractNumId w:val="7"/>
  </w:num>
  <w:num w:numId="2">
    <w:abstractNumId w:val="6"/>
  </w:num>
  <w:num w:numId="3">
    <w:abstractNumId w:val="2"/>
  </w:num>
  <w:num w:numId="4">
    <w:abstractNumId w:val="1"/>
  </w:num>
  <w:num w:numId="5">
    <w:abstractNumId w:val="5"/>
  </w:num>
  <w:num w:numId="6">
    <w:abstractNumId w:val="0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IxMWVmMmJmOWUwMmUxMGRlNDY4MDQzZTk2ZDA0YzYifQ=="/>
  </w:docVars>
  <w:rsids>
    <w:rsidRoot w:val="00FC09BF"/>
    <w:rsid w:val="0000021B"/>
    <w:rsid w:val="00000948"/>
    <w:rsid w:val="00014453"/>
    <w:rsid w:val="00016D6C"/>
    <w:rsid w:val="00022650"/>
    <w:rsid w:val="000250BB"/>
    <w:rsid w:val="00026834"/>
    <w:rsid w:val="0003165E"/>
    <w:rsid w:val="0005028A"/>
    <w:rsid w:val="000610DD"/>
    <w:rsid w:val="000668AE"/>
    <w:rsid w:val="00067170"/>
    <w:rsid w:val="00095016"/>
    <w:rsid w:val="000A3B13"/>
    <w:rsid w:val="000A4C86"/>
    <w:rsid w:val="000C0EEC"/>
    <w:rsid w:val="000C194A"/>
    <w:rsid w:val="000C1D6B"/>
    <w:rsid w:val="000C23F4"/>
    <w:rsid w:val="000C6127"/>
    <w:rsid w:val="000D3D24"/>
    <w:rsid w:val="000E3B66"/>
    <w:rsid w:val="000E5624"/>
    <w:rsid w:val="000F77B9"/>
    <w:rsid w:val="00102A0D"/>
    <w:rsid w:val="00124CD3"/>
    <w:rsid w:val="0012536E"/>
    <w:rsid w:val="001355A8"/>
    <w:rsid w:val="001517BC"/>
    <w:rsid w:val="001526A5"/>
    <w:rsid w:val="00155F42"/>
    <w:rsid w:val="0016366D"/>
    <w:rsid w:val="001652C0"/>
    <w:rsid w:val="001709F9"/>
    <w:rsid w:val="0017261B"/>
    <w:rsid w:val="001845FB"/>
    <w:rsid w:val="001A0FA1"/>
    <w:rsid w:val="001A4950"/>
    <w:rsid w:val="001B2250"/>
    <w:rsid w:val="001B616D"/>
    <w:rsid w:val="001C1634"/>
    <w:rsid w:val="001C442D"/>
    <w:rsid w:val="001E55C4"/>
    <w:rsid w:val="002065BF"/>
    <w:rsid w:val="002279CC"/>
    <w:rsid w:val="00236172"/>
    <w:rsid w:val="00260346"/>
    <w:rsid w:val="00267069"/>
    <w:rsid w:val="00267175"/>
    <w:rsid w:val="002764B9"/>
    <w:rsid w:val="00290C89"/>
    <w:rsid w:val="002A069C"/>
    <w:rsid w:val="002A5AD9"/>
    <w:rsid w:val="002C0F86"/>
    <w:rsid w:val="002C2F1B"/>
    <w:rsid w:val="002D413B"/>
    <w:rsid w:val="002E0EF1"/>
    <w:rsid w:val="002E2644"/>
    <w:rsid w:val="002E36C7"/>
    <w:rsid w:val="002F471A"/>
    <w:rsid w:val="002F7C7F"/>
    <w:rsid w:val="003000A1"/>
    <w:rsid w:val="00300A04"/>
    <w:rsid w:val="00303754"/>
    <w:rsid w:val="003068B2"/>
    <w:rsid w:val="0031291A"/>
    <w:rsid w:val="00317DCF"/>
    <w:rsid w:val="0032344B"/>
    <w:rsid w:val="00326EE7"/>
    <w:rsid w:val="003360AD"/>
    <w:rsid w:val="00336202"/>
    <w:rsid w:val="00357D60"/>
    <w:rsid w:val="003618FA"/>
    <w:rsid w:val="00363096"/>
    <w:rsid w:val="00363222"/>
    <w:rsid w:val="003634CD"/>
    <w:rsid w:val="003637A8"/>
    <w:rsid w:val="00365A23"/>
    <w:rsid w:val="003765CD"/>
    <w:rsid w:val="0038026C"/>
    <w:rsid w:val="00393E38"/>
    <w:rsid w:val="003C313A"/>
    <w:rsid w:val="003C5F1F"/>
    <w:rsid w:val="003D0145"/>
    <w:rsid w:val="003E6048"/>
    <w:rsid w:val="003F1381"/>
    <w:rsid w:val="003F2E55"/>
    <w:rsid w:val="003F655F"/>
    <w:rsid w:val="004069C3"/>
    <w:rsid w:val="004103DE"/>
    <w:rsid w:val="00434259"/>
    <w:rsid w:val="004420CB"/>
    <w:rsid w:val="00453267"/>
    <w:rsid w:val="004554FA"/>
    <w:rsid w:val="0046045A"/>
    <w:rsid w:val="00485382"/>
    <w:rsid w:val="00496FF3"/>
    <w:rsid w:val="004A0846"/>
    <w:rsid w:val="004A60CD"/>
    <w:rsid w:val="004A6B7A"/>
    <w:rsid w:val="004A7452"/>
    <w:rsid w:val="004B20BF"/>
    <w:rsid w:val="004B7593"/>
    <w:rsid w:val="004C6A88"/>
    <w:rsid w:val="004D54C1"/>
    <w:rsid w:val="004D5E99"/>
    <w:rsid w:val="004E6B01"/>
    <w:rsid w:val="004F11F7"/>
    <w:rsid w:val="004F2FC1"/>
    <w:rsid w:val="004F40C5"/>
    <w:rsid w:val="005011A1"/>
    <w:rsid w:val="00503EF6"/>
    <w:rsid w:val="005171C3"/>
    <w:rsid w:val="0052251E"/>
    <w:rsid w:val="005260C3"/>
    <w:rsid w:val="0053668C"/>
    <w:rsid w:val="00540CB9"/>
    <w:rsid w:val="00543BDB"/>
    <w:rsid w:val="00544911"/>
    <w:rsid w:val="00544FA6"/>
    <w:rsid w:val="00552948"/>
    <w:rsid w:val="00553D85"/>
    <w:rsid w:val="00565544"/>
    <w:rsid w:val="00584730"/>
    <w:rsid w:val="0059093A"/>
    <w:rsid w:val="005A03D4"/>
    <w:rsid w:val="005A0FC2"/>
    <w:rsid w:val="005B24C7"/>
    <w:rsid w:val="005C55C9"/>
    <w:rsid w:val="005D6344"/>
    <w:rsid w:val="005E1966"/>
    <w:rsid w:val="005E2394"/>
    <w:rsid w:val="005E601D"/>
    <w:rsid w:val="005F0007"/>
    <w:rsid w:val="005F733B"/>
    <w:rsid w:val="0060522A"/>
    <w:rsid w:val="00613AFB"/>
    <w:rsid w:val="0061732E"/>
    <w:rsid w:val="00622F0F"/>
    <w:rsid w:val="00623D0B"/>
    <w:rsid w:val="00640C09"/>
    <w:rsid w:val="00651A39"/>
    <w:rsid w:val="0065271C"/>
    <w:rsid w:val="00666FAA"/>
    <w:rsid w:val="00683114"/>
    <w:rsid w:val="00687594"/>
    <w:rsid w:val="006967C8"/>
    <w:rsid w:val="006B03E0"/>
    <w:rsid w:val="006B5D6E"/>
    <w:rsid w:val="006D4482"/>
    <w:rsid w:val="006F3BA5"/>
    <w:rsid w:val="006F4079"/>
    <w:rsid w:val="00712E34"/>
    <w:rsid w:val="00714354"/>
    <w:rsid w:val="0072017E"/>
    <w:rsid w:val="00720AB7"/>
    <w:rsid w:val="00722DEF"/>
    <w:rsid w:val="0072679B"/>
    <w:rsid w:val="00740D6B"/>
    <w:rsid w:val="00761CCD"/>
    <w:rsid w:val="0076227F"/>
    <w:rsid w:val="007743F9"/>
    <w:rsid w:val="00780A49"/>
    <w:rsid w:val="007934F0"/>
    <w:rsid w:val="007959FB"/>
    <w:rsid w:val="007A021B"/>
    <w:rsid w:val="007B4BCB"/>
    <w:rsid w:val="007D385B"/>
    <w:rsid w:val="007F12E6"/>
    <w:rsid w:val="007F1AD8"/>
    <w:rsid w:val="007F5825"/>
    <w:rsid w:val="007F58DD"/>
    <w:rsid w:val="00805C0A"/>
    <w:rsid w:val="00807314"/>
    <w:rsid w:val="00813DE5"/>
    <w:rsid w:val="00835942"/>
    <w:rsid w:val="00841183"/>
    <w:rsid w:val="008460E2"/>
    <w:rsid w:val="00856723"/>
    <w:rsid w:val="00862472"/>
    <w:rsid w:val="00864A02"/>
    <w:rsid w:val="00864ABA"/>
    <w:rsid w:val="00876F71"/>
    <w:rsid w:val="008836B5"/>
    <w:rsid w:val="0088641B"/>
    <w:rsid w:val="008A1049"/>
    <w:rsid w:val="008A1EBC"/>
    <w:rsid w:val="008A38FC"/>
    <w:rsid w:val="008B3258"/>
    <w:rsid w:val="008B670F"/>
    <w:rsid w:val="008B7C5C"/>
    <w:rsid w:val="008C3AFB"/>
    <w:rsid w:val="008C6162"/>
    <w:rsid w:val="008C6624"/>
    <w:rsid w:val="008D399E"/>
    <w:rsid w:val="008F4089"/>
    <w:rsid w:val="0090129E"/>
    <w:rsid w:val="009231CB"/>
    <w:rsid w:val="009328ED"/>
    <w:rsid w:val="00935207"/>
    <w:rsid w:val="00937DCA"/>
    <w:rsid w:val="009459FB"/>
    <w:rsid w:val="00965782"/>
    <w:rsid w:val="009673CA"/>
    <w:rsid w:val="00973461"/>
    <w:rsid w:val="00987814"/>
    <w:rsid w:val="009878F3"/>
    <w:rsid w:val="009A3A5E"/>
    <w:rsid w:val="009A4D88"/>
    <w:rsid w:val="009B57A1"/>
    <w:rsid w:val="009C1358"/>
    <w:rsid w:val="009C4C8D"/>
    <w:rsid w:val="009C5A79"/>
    <w:rsid w:val="009D06C3"/>
    <w:rsid w:val="009D373F"/>
    <w:rsid w:val="009E6BBA"/>
    <w:rsid w:val="00A06510"/>
    <w:rsid w:val="00A13636"/>
    <w:rsid w:val="00A22FCE"/>
    <w:rsid w:val="00A258FF"/>
    <w:rsid w:val="00A276B9"/>
    <w:rsid w:val="00A31786"/>
    <w:rsid w:val="00A32655"/>
    <w:rsid w:val="00A354E0"/>
    <w:rsid w:val="00A45B60"/>
    <w:rsid w:val="00A5612B"/>
    <w:rsid w:val="00A6062A"/>
    <w:rsid w:val="00A65CA0"/>
    <w:rsid w:val="00A67631"/>
    <w:rsid w:val="00A762EB"/>
    <w:rsid w:val="00A84DF1"/>
    <w:rsid w:val="00A868C2"/>
    <w:rsid w:val="00A94B34"/>
    <w:rsid w:val="00AA65D3"/>
    <w:rsid w:val="00AA7856"/>
    <w:rsid w:val="00AC71A4"/>
    <w:rsid w:val="00AD6C4C"/>
    <w:rsid w:val="00AE76EF"/>
    <w:rsid w:val="00AF493E"/>
    <w:rsid w:val="00AF6A6E"/>
    <w:rsid w:val="00B125D3"/>
    <w:rsid w:val="00B13D47"/>
    <w:rsid w:val="00B26C79"/>
    <w:rsid w:val="00B35996"/>
    <w:rsid w:val="00B42929"/>
    <w:rsid w:val="00B54801"/>
    <w:rsid w:val="00B56DCC"/>
    <w:rsid w:val="00B648DB"/>
    <w:rsid w:val="00B75D2D"/>
    <w:rsid w:val="00B927BF"/>
    <w:rsid w:val="00B93C7A"/>
    <w:rsid w:val="00B96072"/>
    <w:rsid w:val="00B977C5"/>
    <w:rsid w:val="00BB1FAB"/>
    <w:rsid w:val="00BE2780"/>
    <w:rsid w:val="00BF3363"/>
    <w:rsid w:val="00C045B9"/>
    <w:rsid w:val="00C171F7"/>
    <w:rsid w:val="00C228D7"/>
    <w:rsid w:val="00C251CA"/>
    <w:rsid w:val="00C36CD8"/>
    <w:rsid w:val="00C52820"/>
    <w:rsid w:val="00C536D5"/>
    <w:rsid w:val="00C55EB9"/>
    <w:rsid w:val="00C56077"/>
    <w:rsid w:val="00C5668E"/>
    <w:rsid w:val="00C56C48"/>
    <w:rsid w:val="00C62603"/>
    <w:rsid w:val="00C6260D"/>
    <w:rsid w:val="00C62CF2"/>
    <w:rsid w:val="00C64735"/>
    <w:rsid w:val="00C709BD"/>
    <w:rsid w:val="00C8197C"/>
    <w:rsid w:val="00C835B2"/>
    <w:rsid w:val="00C934A4"/>
    <w:rsid w:val="00CC09EA"/>
    <w:rsid w:val="00CD13FC"/>
    <w:rsid w:val="00CD3F32"/>
    <w:rsid w:val="00CD6446"/>
    <w:rsid w:val="00CE079B"/>
    <w:rsid w:val="00CE2B29"/>
    <w:rsid w:val="00CE65EB"/>
    <w:rsid w:val="00CF128A"/>
    <w:rsid w:val="00CF4BF8"/>
    <w:rsid w:val="00D02572"/>
    <w:rsid w:val="00D05B8B"/>
    <w:rsid w:val="00D129EB"/>
    <w:rsid w:val="00D1734D"/>
    <w:rsid w:val="00D21608"/>
    <w:rsid w:val="00D40D24"/>
    <w:rsid w:val="00D41355"/>
    <w:rsid w:val="00D614B9"/>
    <w:rsid w:val="00D71E34"/>
    <w:rsid w:val="00D72FA6"/>
    <w:rsid w:val="00D82EDC"/>
    <w:rsid w:val="00D92571"/>
    <w:rsid w:val="00D92C3D"/>
    <w:rsid w:val="00DA03DD"/>
    <w:rsid w:val="00DA7480"/>
    <w:rsid w:val="00DC229B"/>
    <w:rsid w:val="00DC77DF"/>
    <w:rsid w:val="00DD46BA"/>
    <w:rsid w:val="00DD683E"/>
    <w:rsid w:val="00DF281B"/>
    <w:rsid w:val="00DF30F2"/>
    <w:rsid w:val="00E0300A"/>
    <w:rsid w:val="00E04AC6"/>
    <w:rsid w:val="00E15AB6"/>
    <w:rsid w:val="00E17FB9"/>
    <w:rsid w:val="00E21004"/>
    <w:rsid w:val="00E32FAD"/>
    <w:rsid w:val="00E40324"/>
    <w:rsid w:val="00E62046"/>
    <w:rsid w:val="00E633C7"/>
    <w:rsid w:val="00E83D12"/>
    <w:rsid w:val="00E86F36"/>
    <w:rsid w:val="00E87183"/>
    <w:rsid w:val="00E97081"/>
    <w:rsid w:val="00EA2B56"/>
    <w:rsid w:val="00EA5ED9"/>
    <w:rsid w:val="00EC36DF"/>
    <w:rsid w:val="00ED0F4C"/>
    <w:rsid w:val="00EF449E"/>
    <w:rsid w:val="00F0283E"/>
    <w:rsid w:val="00F117A2"/>
    <w:rsid w:val="00F229D9"/>
    <w:rsid w:val="00F31A75"/>
    <w:rsid w:val="00F31DB9"/>
    <w:rsid w:val="00F45E8F"/>
    <w:rsid w:val="00F50D53"/>
    <w:rsid w:val="00F555D2"/>
    <w:rsid w:val="00F57CFF"/>
    <w:rsid w:val="00F64BD4"/>
    <w:rsid w:val="00F72C95"/>
    <w:rsid w:val="00F81DCF"/>
    <w:rsid w:val="00F85ECE"/>
    <w:rsid w:val="00F919E3"/>
    <w:rsid w:val="00F95850"/>
    <w:rsid w:val="00FB2789"/>
    <w:rsid w:val="00FB2FB6"/>
    <w:rsid w:val="00FB4C09"/>
    <w:rsid w:val="00FB70CD"/>
    <w:rsid w:val="00FB7678"/>
    <w:rsid w:val="00FC09BF"/>
    <w:rsid w:val="00FC23E9"/>
    <w:rsid w:val="00FC41AE"/>
    <w:rsid w:val="00FD00DC"/>
    <w:rsid w:val="00FE2346"/>
    <w:rsid w:val="00FE4B45"/>
    <w:rsid w:val="00FE4E91"/>
    <w:rsid w:val="00FE5186"/>
    <w:rsid w:val="00FF223C"/>
    <w:rsid w:val="00FF475D"/>
    <w:rsid w:val="0100101D"/>
    <w:rsid w:val="016A70C6"/>
    <w:rsid w:val="01995599"/>
    <w:rsid w:val="01B96A7A"/>
    <w:rsid w:val="01BD35AB"/>
    <w:rsid w:val="01DF28A5"/>
    <w:rsid w:val="01E2157F"/>
    <w:rsid w:val="02381DE1"/>
    <w:rsid w:val="027E52C8"/>
    <w:rsid w:val="02926030"/>
    <w:rsid w:val="02960313"/>
    <w:rsid w:val="02A775D5"/>
    <w:rsid w:val="030A0C06"/>
    <w:rsid w:val="032C5AA7"/>
    <w:rsid w:val="032D55DA"/>
    <w:rsid w:val="03337E2E"/>
    <w:rsid w:val="03504706"/>
    <w:rsid w:val="03592202"/>
    <w:rsid w:val="038317EF"/>
    <w:rsid w:val="0383537E"/>
    <w:rsid w:val="039A5A8A"/>
    <w:rsid w:val="03A3603B"/>
    <w:rsid w:val="03A6322A"/>
    <w:rsid w:val="03DE344C"/>
    <w:rsid w:val="03E71DFB"/>
    <w:rsid w:val="041C1D99"/>
    <w:rsid w:val="04585268"/>
    <w:rsid w:val="04904FD6"/>
    <w:rsid w:val="04934A97"/>
    <w:rsid w:val="049A5733"/>
    <w:rsid w:val="04A635FC"/>
    <w:rsid w:val="04C819AF"/>
    <w:rsid w:val="04CE690A"/>
    <w:rsid w:val="04F51ACB"/>
    <w:rsid w:val="05083617"/>
    <w:rsid w:val="05156D7B"/>
    <w:rsid w:val="05165F7D"/>
    <w:rsid w:val="05180788"/>
    <w:rsid w:val="052377CD"/>
    <w:rsid w:val="05392173"/>
    <w:rsid w:val="05812908"/>
    <w:rsid w:val="05962D28"/>
    <w:rsid w:val="05BF6F5F"/>
    <w:rsid w:val="05C72C70"/>
    <w:rsid w:val="05EE7CEB"/>
    <w:rsid w:val="05F11CCD"/>
    <w:rsid w:val="065E5C1C"/>
    <w:rsid w:val="066C0165"/>
    <w:rsid w:val="070A6A62"/>
    <w:rsid w:val="07206FFC"/>
    <w:rsid w:val="073B5EC6"/>
    <w:rsid w:val="074917A7"/>
    <w:rsid w:val="074A06ED"/>
    <w:rsid w:val="07550F1A"/>
    <w:rsid w:val="075743A4"/>
    <w:rsid w:val="0764747B"/>
    <w:rsid w:val="07720EFB"/>
    <w:rsid w:val="078E61C6"/>
    <w:rsid w:val="07A947A0"/>
    <w:rsid w:val="07AF1BE8"/>
    <w:rsid w:val="07B54674"/>
    <w:rsid w:val="07D97F77"/>
    <w:rsid w:val="07FE2128"/>
    <w:rsid w:val="0804689E"/>
    <w:rsid w:val="080E4824"/>
    <w:rsid w:val="084E14F6"/>
    <w:rsid w:val="085E608A"/>
    <w:rsid w:val="08847D7A"/>
    <w:rsid w:val="0898097F"/>
    <w:rsid w:val="08B27201"/>
    <w:rsid w:val="08F30D6A"/>
    <w:rsid w:val="08F661BF"/>
    <w:rsid w:val="08FA3C48"/>
    <w:rsid w:val="091B035C"/>
    <w:rsid w:val="091C32AD"/>
    <w:rsid w:val="096B60FE"/>
    <w:rsid w:val="09711666"/>
    <w:rsid w:val="097B632E"/>
    <w:rsid w:val="09A02F98"/>
    <w:rsid w:val="09DA1717"/>
    <w:rsid w:val="09E12B53"/>
    <w:rsid w:val="09E6149F"/>
    <w:rsid w:val="09ED6A63"/>
    <w:rsid w:val="09F24EAC"/>
    <w:rsid w:val="0A557B5E"/>
    <w:rsid w:val="0A591DDD"/>
    <w:rsid w:val="0AA7129C"/>
    <w:rsid w:val="0AA779A2"/>
    <w:rsid w:val="0B1D1453"/>
    <w:rsid w:val="0B4B5449"/>
    <w:rsid w:val="0B721524"/>
    <w:rsid w:val="0B85446A"/>
    <w:rsid w:val="0B892706"/>
    <w:rsid w:val="0B8B1478"/>
    <w:rsid w:val="0B936A2E"/>
    <w:rsid w:val="0BA94BA0"/>
    <w:rsid w:val="0BE74992"/>
    <w:rsid w:val="0C0C4B2E"/>
    <w:rsid w:val="0C5218E5"/>
    <w:rsid w:val="0C73522D"/>
    <w:rsid w:val="0C957F90"/>
    <w:rsid w:val="0CC021C4"/>
    <w:rsid w:val="0CC55A09"/>
    <w:rsid w:val="0CCF0E06"/>
    <w:rsid w:val="0CD728AF"/>
    <w:rsid w:val="0CDB6FDB"/>
    <w:rsid w:val="0CF04668"/>
    <w:rsid w:val="0CF66E5F"/>
    <w:rsid w:val="0D1A3FA7"/>
    <w:rsid w:val="0D53778B"/>
    <w:rsid w:val="0D645222"/>
    <w:rsid w:val="0D7C3848"/>
    <w:rsid w:val="0D845616"/>
    <w:rsid w:val="0D8C205F"/>
    <w:rsid w:val="0DB374A1"/>
    <w:rsid w:val="0DC91A9B"/>
    <w:rsid w:val="0DCB34F3"/>
    <w:rsid w:val="0DE15D9A"/>
    <w:rsid w:val="0E197DBB"/>
    <w:rsid w:val="0E1A19F7"/>
    <w:rsid w:val="0E4A266A"/>
    <w:rsid w:val="0E4D5A8C"/>
    <w:rsid w:val="0E5516F9"/>
    <w:rsid w:val="0E590593"/>
    <w:rsid w:val="0E727929"/>
    <w:rsid w:val="0EAE7E12"/>
    <w:rsid w:val="0F0F1080"/>
    <w:rsid w:val="0F587CE4"/>
    <w:rsid w:val="0F714E7D"/>
    <w:rsid w:val="0F780EF6"/>
    <w:rsid w:val="0F86629B"/>
    <w:rsid w:val="0F943C67"/>
    <w:rsid w:val="0FDF0168"/>
    <w:rsid w:val="0FE72BA2"/>
    <w:rsid w:val="0FEC005A"/>
    <w:rsid w:val="105F0391"/>
    <w:rsid w:val="10777B62"/>
    <w:rsid w:val="10A95EF1"/>
    <w:rsid w:val="10E96B25"/>
    <w:rsid w:val="112D1033"/>
    <w:rsid w:val="113D0542"/>
    <w:rsid w:val="11492954"/>
    <w:rsid w:val="114B2249"/>
    <w:rsid w:val="115360F8"/>
    <w:rsid w:val="116A10F1"/>
    <w:rsid w:val="117B6DED"/>
    <w:rsid w:val="119B0C26"/>
    <w:rsid w:val="11AE1D5F"/>
    <w:rsid w:val="11AF0B6F"/>
    <w:rsid w:val="12096BA4"/>
    <w:rsid w:val="127A7715"/>
    <w:rsid w:val="127B5A8E"/>
    <w:rsid w:val="129C1A1B"/>
    <w:rsid w:val="12A2576B"/>
    <w:rsid w:val="12BE771E"/>
    <w:rsid w:val="12C504C1"/>
    <w:rsid w:val="12C77BEA"/>
    <w:rsid w:val="131978DE"/>
    <w:rsid w:val="131B7427"/>
    <w:rsid w:val="133C7500"/>
    <w:rsid w:val="13471C6F"/>
    <w:rsid w:val="134D639F"/>
    <w:rsid w:val="13B26E8B"/>
    <w:rsid w:val="13B52CC1"/>
    <w:rsid w:val="13BC14E6"/>
    <w:rsid w:val="13C849F4"/>
    <w:rsid w:val="141349E1"/>
    <w:rsid w:val="14287524"/>
    <w:rsid w:val="144D7929"/>
    <w:rsid w:val="146E19E7"/>
    <w:rsid w:val="14723510"/>
    <w:rsid w:val="14C57350"/>
    <w:rsid w:val="14EF0156"/>
    <w:rsid w:val="14F11890"/>
    <w:rsid w:val="15385D2F"/>
    <w:rsid w:val="15747FCD"/>
    <w:rsid w:val="157627CA"/>
    <w:rsid w:val="158457C7"/>
    <w:rsid w:val="15951579"/>
    <w:rsid w:val="15A168B3"/>
    <w:rsid w:val="15A96CDB"/>
    <w:rsid w:val="15D66FF5"/>
    <w:rsid w:val="162C4D95"/>
    <w:rsid w:val="164674BD"/>
    <w:rsid w:val="166828D0"/>
    <w:rsid w:val="168B2E56"/>
    <w:rsid w:val="169E6187"/>
    <w:rsid w:val="16D267B9"/>
    <w:rsid w:val="16F42E09"/>
    <w:rsid w:val="17201284"/>
    <w:rsid w:val="1780524C"/>
    <w:rsid w:val="182D42C1"/>
    <w:rsid w:val="18715E0C"/>
    <w:rsid w:val="18952684"/>
    <w:rsid w:val="189C761F"/>
    <w:rsid w:val="18C84C76"/>
    <w:rsid w:val="18E904DB"/>
    <w:rsid w:val="192A458D"/>
    <w:rsid w:val="193B4828"/>
    <w:rsid w:val="19473C68"/>
    <w:rsid w:val="19521B57"/>
    <w:rsid w:val="19BB13AF"/>
    <w:rsid w:val="19C601EB"/>
    <w:rsid w:val="19E35721"/>
    <w:rsid w:val="1A011158"/>
    <w:rsid w:val="1A44162C"/>
    <w:rsid w:val="1A80150D"/>
    <w:rsid w:val="1A9B581D"/>
    <w:rsid w:val="1B2A2F7C"/>
    <w:rsid w:val="1B3B1D59"/>
    <w:rsid w:val="1B3D2D15"/>
    <w:rsid w:val="1B477813"/>
    <w:rsid w:val="1B4E03E5"/>
    <w:rsid w:val="1BC77EA8"/>
    <w:rsid w:val="1BDE7CE9"/>
    <w:rsid w:val="1BF26A2F"/>
    <w:rsid w:val="1BF32008"/>
    <w:rsid w:val="1C04570F"/>
    <w:rsid w:val="1C075460"/>
    <w:rsid w:val="1C5C4850"/>
    <w:rsid w:val="1C795BCB"/>
    <w:rsid w:val="1C826759"/>
    <w:rsid w:val="1C931404"/>
    <w:rsid w:val="1CCC737F"/>
    <w:rsid w:val="1D0707BC"/>
    <w:rsid w:val="1D57560D"/>
    <w:rsid w:val="1D783E81"/>
    <w:rsid w:val="1D9A1EEE"/>
    <w:rsid w:val="1DA43D88"/>
    <w:rsid w:val="1DAD0937"/>
    <w:rsid w:val="1DB6381B"/>
    <w:rsid w:val="1DFD1C32"/>
    <w:rsid w:val="1E567CCF"/>
    <w:rsid w:val="1E7D37C6"/>
    <w:rsid w:val="1E8A7B0A"/>
    <w:rsid w:val="1E8F28FA"/>
    <w:rsid w:val="1ECC3C2E"/>
    <w:rsid w:val="1EDE153A"/>
    <w:rsid w:val="1EDF503D"/>
    <w:rsid w:val="1EF95278"/>
    <w:rsid w:val="1F0573A3"/>
    <w:rsid w:val="1F127CB5"/>
    <w:rsid w:val="1F1A7050"/>
    <w:rsid w:val="1F1D5146"/>
    <w:rsid w:val="1F21125C"/>
    <w:rsid w:val="1F60557D"/>
    <w:rsid w:val="1F8E5711"/>
    <w:rsid w:val="1FA523CB"/>
    <w:rsid w:val="1FB3377C"/>
    <w:rsid w:val="1FE85338"/>
    <w:rsid w:val="20167460"/>
    <w:rsid w:val="203A5142"/>
    <w:rsid w:val="20465886"/>
    <w:rsid w:val="20716ADA"/>
    <w:rsid w:val="207629EC"/>
    <w:rsid w:val="207E5060"/>
    <w:rsid w:val="20835D28"/>
    <w:rsid w:val="20865FBB"/>
    <w:rsid w:val="20AA51EA"/>
    <w:rsid w:val="20BB0F18"/>
    <w:rsid w:val="20F75AC3"/>
    <w:rsid w:val="21037069"/>
    <w:rsid w:val="219548E3"/>
    <w:rsid w:val="21A65B25"/>
    <w:rsid w:val="21B72CD0"/>
    <w:rsid w:val="21BA6EF0"/>
    <w:rsid w:val="21BC5B4C"/>
    <w:rsid w:val="21E12E8E"/>
    <w:rsid w:val="21ED34DE"/>
    <w:rsid w:val="220C59E4"/>
    <w:rsid w:val="22802309"/>
    <w:rsid w:val="22C04608"/>
    <w:rsid w:val="22F541A0"/>
    <w:rsid w:val="230E580F"/>
    <w:rsid w:val="23247F6C"/>
    <w:rsid w:val="232D5F6F"/>
    <w:rsid w:val="23452149"/>
    <w:rsid w:val="23532765"/>
    <w:rsid w:val="237251A5"/>
    <w:rsid w:val="23902EAB"/>
    <w:rsid w:val="239C3A9C"/>
    <w:rsid w:val="23EF49A1"/>
    <w:rsid w:val="23F6042D"/>
    <w:rsid w:val="24331BC7"/>
    <w:rsid w:val="248C3AD1"/>
    <w:rsid w:val="24976248"/>
    <w:rsid w:val="24976691"/>
    <w:rsid w:val="249F05D0"/>
    <w:rsid w:val="24BF4641"/>
    <w:rsid w:val="251561DC"/>
    <w:rsid w:val="251E68DB"/>
    <w:rsid w:val="252D1674"/>
    <w:rsid w:val="252F3607"/>
    <w:rsid w:val="253053AD"/>
    <w:rsid w:val="2549294D"/>
    <w:rsid w:val="25B65753"/>
    <w:rsid w:val="25CC6900"/>
    <w:rsid w:val="25EE5A8E"/>
    <w:rsid w:val="25FE4581"/>
    <w:rsid w:val="264A1C73"/>
    <w:rsid w:val="2673304A"/>
    <w:rsid w:val="26953A53"/>
    <w:rsid w:val="26BB58DD"/>
    <w:rsid w:val="26F84646"/>
    <w:rsid w:val="274103CD"/>
    <w:rsid w:val="274573FA"/>
    <w:rsid w:val="275076B4"/>
    <w:rsid w:val="2795391B"/>
    <w:rsid w:val="27C72366"/>
    <w:rsid w:val="280C782D"/>
    <w:rsid w:val="28116B81"/>
    <w:rsid w:val="286345FC"/>
    <w:rsid w:val="287E1C50"/>
    <w:rsid w:val="28946358"/>
    <w:rsid w:val="289A7199"/>
    <w:rsid w:val="28B27B04"/>
    <w:rsid w:val="28C52E8B"/>
    <w:rsid w:val="29001A3B"/>
    <w:rsid w:val="290402F4"/>
    <w:rsid w:val="296028EA"/>
    <w:rsid w:val="299604F4"/>
    <w:rsid w:val="29BC7575"/>
    <w:rsid w:val="29DA516B"/>
    <w:rsid w:val="29DD40CC"/>
    <w:rsid w:val="2A6C71D6"/>
    <w:rsid w:val="2A894661"/>
    <w:rsid w:val="2A922F77"/>
    <w:rsid w:val="2AA37E42"/>
    <w:rsid w:val="2AC13077"/>
    <w:rsid w:val="2BB72C44"/>
    <w:rsid w:val="2BC26015"/>
    <w:rsid w:val="2BFD69B1"/>
    <w:rsid w:val="2C574BD2"/>
    <w:rsid w:val="2C754424"/>
    <w:rsid w:val="2C9B0E5F"/>
    <w:rsid w:val="2CA5099D"/>
    <w:rsid w:val="2CAB764B"/>
    <w:rsid w:val="2CD61159"/>
    <w:rsid w:val="2CEF41B9"/>
    <w:rsid w:val="2CF066A8"/>
    <w:rsid w:val="2D1E0AF2"/>
    <w:rsid w:val="2D417B37"/>
    <w:rsid w:val="2D924C22"/>
    <w:rsid w:val="2DA64017"/>
    <w:rsid w:val="2DBC4F89"/>
    <w:rsid w:val="2DC45937"/>
    <w:rsid w:val="2DF75DF6"/>
    <w:rsid w:val="2E0820AF"/>
    <w:rsid w:val="2E246241"/>
    <w:rsid w:val="2E28567E"/>
    <w:rsid w:val="2E3C467F"/>
    <w:rsid w:val="2E3D58F0"/>
    <w:rsid w:val="2E474F59"/>
    <w:rsid w:val="2E650575"/>
    <w:rsid w:val="2E695B0F"/>
    <w:rsid w:val="2E8343F7"/>
    <w:rsid w:val="2E852ACB"/>
    <w:rsid w:val="2EE75AE4"/>
    <w:rsid w:val="2EF246E3"/>
    <w:rsid w:val="2EF71864"/>
    <w:rsid w:val="2F2257D4"/>
    <w:rsid w:val="2F5B602D"/>
    <w:rsid w:val="2F87358A"/>
    <w:rsid w:val="2FAD425D"/>
    <w:rsid w:val="2FBE2197"/>
    <w:rsid w:val="2FC405F2"/>
    <w:rsid w:val="2FDA06E4"/>
    <w:rsid w:val="2FEA551C"/>
    <w:rsid w:val="2FF66710"/>
    <w:rsid w:val="30245E5E"/>
    <w:rsid w:val="304220D9"/>
    <w:rsid w:val="30422C40"/>
    <w:rsid w:val="3097152D"/>
    <w:rsid w:val="30A72956"/>
    <w:rsid w:val="30BE3AAC"/>
    <w:rsid w:val="30CB2D3F"/>
    <w:rsid w:val="311C5295"/>
    <w:rsid w:val="3180174F"/>
    <w:rsid w:val="31897A73"/>
    <w:rsid w:val="319B2C96"/>
    <w:rsid w:val="31AD3C56"/>
    <w:rsid w:val="31B1516F"/>
    <w:rsid w:val="31D06B8D"/>
    <w:rsid w:val="31E919E6"/>
    <w:rsid w:val="324F6AFC"/>
    <w:rsid w:val="32801746"/>
    <w:rsid w:val="329823D5"/>
    <w:rsid w:val="32B01EF0"/>
    <w:rsid w:val="32BD1807"/>
    <w:rsid w:val="32E84B21"/>
    <w:rsid w:val="32F56799"/>
    <w:rsid w:val="32FE2443"/>
    <w:rsid w:val="32FF4F22"/>
    <w:rsid w:val="3302541E"/>
    <w:rsid w:val="3310140D"/>
    <w:rsid w:val="332C364E"/>
    <w:rsid w:val="33446C61"/>
    <w:rsid w:val="336766BE"/>
    <w:rsid w:val="33C34D52"/>
    <w:rsid w:val="33E66D26"/>
    <w:rsid w:val="33EE0890"/>
    <w:rsid w:val="341D2DFB"/>
    <w:rsid w:val="343A7F7C"/>
    <w:rsid w:val="345A6292"/>
    <w:rsid w:val="346E2AFC"/>
    <w:rsid w:val="347A51A8"/>
    <w:rsid w:val="34950D2E"/>
    <w:rsid w:val="34F03218"/>
    <w:rsid w:val="35302689"/>
    <w:rsid w:val="358E6A31"/>
    <w:rsid w:val="35B71777"/>
    <w:rsid w:val="35BD1F20"/>
    <w:rsid w:val="36931B9D"/>
    <w:rsid w:val="36952D87"/>
    <w:rsid w:val="36C10E89"/>
    <w:rsid w:val="372E16F2"/>
    <w:rsid w:val="37AB1B1C"/>
    <w:rsid w:val="37DC4D24"/>
    <w:rsid w:val="380578D3"/>
    <w:rsid w:val="381E1546"/>
    <w:rsid w:val="38254898"/>
    <w:rsid w:val="38312021"/>
    <w:rsid w:val="388573EF"/>
    <w:rsid w:val="3897183C"/>
    <w:rsid w:val="38B43586"/>
    <w:rsid w:val="38DC6B3E"/>
    <w:rsid w:val="38F35529"/>
    <w:rsid w:val="390078A2"/>
    <w:rsid w:val="394107A5"/>
    <w:rsid w:val="39576612"/>
    <w:rsid w:val="396C1C6F"/>
    <w:rsid w:val="39A46823"/>
    <w:rsid w:val="39C824F0"/>
    <w:rsid w:val="39FB7FEA"/>
    <w:rsid w:val="3A78479B"/>
    <w:rsid w:val="3A8B0AE9"/>
    <w:rsid w:val="3A8E5FD5"/>
    <w:rsid w:val="3AED4AF2"/>
    <w:rsid w:val="3AF428E9"/>
    <w:rsid w:val="3B262953"/>
    <w:rsid w:val="3B2A7D30"/>
    <w:rsid w:val="3B3819C4"/>
    <w:rsid w:val="3B4E14F1"/>
    <w:rsid w:val="3B6444BC"/>
    <w:rsid w:val="3B92341F"/>
    <w:rsid w:val="3BB27D24"/>
    <w:rsid w:val="3BCC44D7"/>
    <w:rsid w:val="3BCC4CFB"/>
    <w:rsid w:val="3BCF6019"/>
    <w:rsid w:val="3BCF63D5"/>
    <w:rsid w:val="3BE2118A"/>
    <w:rsid w:val="3BF162EE"/>
    <w:rsid w:val="3C0915DA"/>
    <w:rsid w:val="3C282FAF"/>
    <w:rsid w:val="3C650C1B"/>
    <w:rsid w:val="3C81210D"/>
    <w:rsid w:val="3CCD7E3F"/>
    <w:rsid w:val="3DA93DDC"/>
    <w:rsid w:val="3DAF7A47"/>
    <w:rsid w:val="3DD36637"/>
    <w:rsid w:val="3DE32AA3"/>
    <w:rsid w:val="3DE67E5E"/>
    <w:rsid w:val="3E3D31E4"/>
    <w:rsid w:val="3EC467E2"/>
    <w:rsid w:val="3ECA4C22"/>
    <w:rsid w:val="3EF77A91"/>
    <w:rsid w:val="3F060B45"/>
    <w:rsid w:val="3F120C0C"/>
    <w:rsid w:val="3F1C5311"/>
    <w:rsid w:val="3F320FD2"/>
    <w:rsid w:val="3F3B19D7"/>
    <w:rsid w:val="3F5C54AA"/>
    <w:rsid w:val="3F9774E0"/>
    <w:rsid w:val="401B3BA3"/>
    <w:rsid w:val="401F3602"/>
    <w:rsid w:val="409102EF"/>
    <w:rsid w:val="40966C89"/>
    <w:rsid w:val="409C2AA6"/>
    <w:rsid w:val="40C003E6"/>
    <w:rsid w:val="415348BB"/>
    <w:rsid w:val="416074D3"/>
    <w:rsid w:val="419964FC"/>
    <w:rsid w:val="41AB09A5"/>
    <w:rsid w:val="420352A0"/>
    <w:rsid w:val="423B62EB"/>
    <w:rsid w:val="42533AE6"/>
    <w:rsid w:val="42973684"/>
    <w:rsid w:val="429E2529"/>
    <w:rsid w:val="42A53643"/>
    <w:rsid w:val="42BF7409"/>
    <w:rsid w:val="42D15A7C"/>
    <w:rsid w:val="42E242BB"/>
    <w:rsid w:val="42E67298"/>
    <w:rsid w:val="43103476"/>
    <w:rsid w:val="43260124"/>
    <w:rsid w:val="43341C69"/>
    <w:rsid w:val="43343388"/>
    <w:rsid w:val="437966B9"/>
    <w:rsid w:val="43AE0232"/>
    <w:rsid w:val="43E43509"/>
    <w:rsid w:val="43EE71D0"/>
    <w:rsid w:val="441F7EFA"/>
    <w:rsid w:val="444667F8"/>
    <w:rsid w:val="444906F3"/>
    <w:rsid w:val="4452538D"/>
    <w:rsid w:val="44655322"/>
    <w:rsid w:val="44873F3D"/>
    <w:rsid w:val="448A7596"/>
    <w:rsid w:val="448F6986"/>
    <w:rsid w:val="44994F7C"/>
    <w:rsid w:val="44A03448"/>
    <w:rsid w:val="44A120EF"/>
    <w:rsid w:val="44EA6B4F"/>
    <w:rsid w:val="45315427"/>
    <w:rsid w:val="453B5E20"/>
    <w:rsid w:val="458D14F8"/>
    <w:rsid w:val="45AC2674"/>
    <w:rsid w:val="45D34CD5"/>
    <w:rsid w:val="4607304E"/>
    <w:rsid w:val="462A3816"/>
    <w:rsid w:val="462E4FAF"/>
    <w:rsid w:val="464F2CE9"/>
    <w:rsid w:val="46560EA5"/>
    <w:rsid w:val="467148D6"/>
    <w:rsid w:val="4692195D"/>
    <w:rsid w:val="469270CC"/>
    <w:rsid w:val="469D6560"/>
    <w:rsid w:val="46A71A9C"/>
    <w:rsid w:val="46F56A8A"/>
    <w:rsid w:val="471363E2"/>
    <w:rsid w:val="472E0497"/>
    <w:rsid w:val="473A5FD1"/>
    <w:rsid w:val="476177D3"/>
    <w:rsid w:val="47975E20"/>
    <w:rsid w:val="482571A4"/>
    <w:rsid w:val="4826285F"/>
    <w:rsid w:val="482C195C"/>
    <w:rsid w:val="482D3841"/>
    <w:rsid w:val="48576B81"/>
    <w:rsid w:val="487D0821"/>
    <w:rsid w:val="48BB731D"/>
    <w:rsid w:val="48C5233D"/>
    <w:rsid w:val="48EE268F"/>
    <w:rsid w:val="49170909"/>
    <w:rsid w:val="49583D6D"/>
    <w:rsid w:val="49851B93"/>
    <w:rsid w:val="49A66F86"/>
    <w:rsid w:val="49BA7BE6"/>
    <w:rsid w:val="49E113CD"/>
    <w:rsid w:val="49E21BFF"/>
    <w:rsid w:val="49E8175A"/>
    <w:rsid w:val="49E8450A"/>
    <w:rsid w:val="4A007AA5"/>
    <w:rsid w:val="4A8B5B61"/>
    <w:rsid w:val="4ABC43E7"/>
    <w:rsid w:val="4AC001F3"/>
    <w:rsid w:val="4AC928C4"/>
    <w:rsid w:val="4ACA3C0F"/>
    <w:rsid w:val="4AE61B76"/>
    <w:rsid w:val="4AEB2404"/>
    <w:rsid w:val="4B163889"/>
    <w:rsid w:val="4B295A7F"/>
    <w:rsid w:val="4B3763AA"/>
    <w:rsid w:val="4B5E1090"/>
    <w:rsid w:val="4B60270F"/>
    <w:rsid w:val="4B693A74"/>
    <w:rsid w:val="4B7E244E"/>
    <w:rsid w:val="4BC42DC5"/>
    <w:rsid w:val="4BD53698"/>
    <w:rsid w:val="4BF615CF"/>
    <w:rsid w:val="4C0E2671"/>
    <w:rsid w:val="4C142219"/>
    <w:rsid w:val="4C1B0BC7"/>
    <w:rsid w:val="4C336078"/>
    <w:rsid w:val="4C42209B"/>
    <w:rsid w:val="4C742085"/>
    <w:rsid w:val="4C9805E7"/>
    <w:rsid w:val="4CA027B8"/>
    <w:rsid w:val="4CDA6199"/>
    <w:rsid w:val="4CEF13C9"/>
    <w:rsid w:val="4D1F3379"/>
    <w:rsid w:val="4D3F616E"/>
    <w:rsid w:val="4D804440"/>
    <w:rsid w:val="4D8D78A2"/>
    <w:rsid w:val="4D9D4642"/>
    <w:rsid w:val="4DA370C6"/>
    <w:rsid w:val="4DC84B29"/>
    <w:rsid w:val="4E0D687D"/>
    <w:rsid w:val="4E393AF7"/>
    <w:rsid w:val="4E3F261E"/>
    <w:rsid w:val="4E6B4E1D"/>
    <w:rsid w:val="4E6E7BDA"/>
    <w:rsid w:val="4E8051F3"/>
    <w:rsid w:val="4E9B4459"/>
    <w:rsid w:val="4EB40685"/>
    <w:rsid w:val="4F1B778F"/>
    <w:rsid w:val="4F2B01C8"/>
    <w:rsid w:val="4F3F2E1E"/>
    <w:rsid w:val="4F513267"/>
    <w:rsid w:val="4F837DDD"/>
    <w:rsid w:val="4F883F69"/>
    <w:rsid w:val="4F8D2468"/>
    <w:rsid w:val="4FC17D31"/>
    <w:rsid w:val="4FCF72E0"/>
    <w:rsid w:val="50005A9D"/>
    <w:rsid w:val="50123847"/>
    <w:rsid w:val="501A73E7"/>
    <w:rsid w:val="50353A3E"/>
    <w:rsid w:val="50446E50"/>
    <w:rsid w:val="50550BCF"/>
    <w:rsid w:val="5067145B"/>
    <w:rsid w:val="506C71B8"/>
    <w:rsid w:val="50842282"/>
    <w:rsid w:val="508D4710"/>
    <w:rsid w:val="512570B7"/>
    <w:rsid w:val="51330A9E"/>
    <w:rsid w:val="514932B6"/>
    <w:rsid w:val="51566686"/>
    <w:rsid w:val="51586E30"/>
    <w:rsid w:val="51620392"/>
    <w:rsid w:val="517943D0"/>
    <w:rsid w:val="519805C3"/>
    <w:rsid w:val="51E25CE3"/>
    <w:rsid w:val="51F619CE"/>
    <w:rsid w:val="520827B3"/>
    <w:rsid w:val="523A18EA"/>
    <w:rsid w:val="523C6485"/>
    <w:rsid w:val="529C0E87"/>
    <w:rsid w:val="529C3500"/>
    <w:rsid w:val="52ED079D"/>
    <w:rsid w:val="52F368EA"/>
    <w:rsid w:val="530859D8"/>
    <w:rsid w:val="53253C8A"/>
    <w:rsid w:val="533C7DB3"/>
    <w:rsid w:val="53880EBB"/>
    <w:rsid w:val="53AF0560"/>
    <w:rsid w:val="53CD5A79"/>
    <w:rsid w:val="53EE4D91"/>
    <w:rsid w:val="54020350"/>
    <w:rsid w:val="54183FD6"/>
    <w:rsid w:val="541A4CB9"/>
    <w:rsid w:val="542804C1"/>
    <w:rsid w:val="543C2EC5"/>
    <w:rsid w:val="54607BA0"/>
    <w:rsid w:val="546F7B38"/>
    <w:rsid w:val="5479520E"/>
    <w:rsid w:val="54AD4386"/>
    <w:rsid w:val="54C44366"/>
    <w:rsid w:val="54DB5BC4"/>
    <w:rsid w:val="54EA00D0"/>
    <w:rsid w:val="54ED6695"/>
    <w:rsid w:val="54FE273A"/>
    <w:rsid w:val="55231EA8"/>
    <w:rsid w:val="55A72CD7"/>
    <w:rsid w:val="55AA6F28"/>
    <w:rsid w:val="55BA6734"/>
    <w:rsid w:val="55D36E2D"/>
    <w:rsid w:val="55F55B17"/>
    <w:rsid w:val="55FF71F5"/>
    <w:rsid w:val="560D23E5"/>
    <w:rsid w:val="56C35CEF"/>
    <w:rsid w:val="56C379D7"/>
    <w:rsid w:val="56D30DA7"/>
    <w:rsid w:val="56FE536D"/>
    <w:rsid w:val="56FF52A9"/>
    <w:rsid w:val="57044DDC"/>
    <w:rsid w:val="571C1C97"/>
    <w:rsid w:val="57A3040F"/>
    <w:rsid w:val="57A8737F"/>
    <w:rsid w:val="57D8279F"/>
    <w:rsid w:val="583B0B85"/>
    <w:rsid w:val="584308C3"/>
    <w:rsid w:val="585719F6"/>
    <w:rsid w:val="58A9430E"/>
    <w:rsid w:val="58B24661"/>
    <w:rsid w:val="58D058E4"/>
    <w:rsid w:val="58DA7713"/>
    <w:rsid w:val="58FD3B61"/>
    <w:rsid w:val="590B19EC"/>
    <w:rsid w:val="595D3542"/>
    <w:rsid w:val="59912CBE"/>
    <w:rsid w:val="59C854FA"/>
    <w:rsid w:val="59D70F55"/>
    <w:rsid w:val="59ED4850"/>
    <w:rsid w:val="59FE11BE"/>
    <w:rsid w:val="59FF27AA"/>
    <w:rsid w:val="5A162002"/>
    <w:rsid w:val="5A4B6B1B"/>
    <w:rsid w:val="5AA36A9A"/>
    <w:rsid w:val="5AB83464"/>
    <w:rsid w:val="5AC45656"/>
    <w:rsid w:val="5AF85079"/>
    <w:rsid w:val="5AFB677B"/>
    <w:rsid w:val="5B1C3BF0"/>
    <w:rsid w:val="5B1C4674"/>
    <w:rsid w:val="5B2211FC"/>
    <w:rsid w:val="5B4E5D24"/>
    <w:rsid w:val="5B8426F0"/>
    <w:rsid w:val="5B8A3326"/>
    <w:rsid w:val="5BA30476"/>
    <w:rsid w:val="5BC020DD"/>
    <w:rsid w:val="5BE014E5"/>
    <w:rsid w:val="5BE842E6"/>
    <w:rsid w:val="5BF74C8D"/>
    <w:rsid w:val="5C334CCE"/>
    <w:rsid w:val="5C3A3623"/>
    <w:rsid w:val="5C4E4823"/>
    <w:rsid w:val="5C6B2969"/>
    <w:rsid w:val="5C78462C"/>
    <w:rsid w:val="5C9C33C1"/>
    <w:rsid w:val="5CEA4C5D"/>
    <w:rsid w:val="5D2C4B5C"/>
    <w:rsid w:val="5D472F1D"/>
    <w:rsid w:val="5D5D7346"/>
    <w:rsid w:val="5D8329F4"/>
    <w:rsid w:val="5D9E4B37"/>
    <w:rsid w:val="5E3515C4"/>
    <w:rsid w:val="5E3620A8"/>
    <w:rsid w:val="5E502BE3"/>
    <w:rsid w:val="5E511FC3"/>
    <w:rsid w:val="5E6E0A0E"/>
    <w:rsid w:val="5E8B1869"/>
    <w:rsid w:val="5EF157B7"/>
    <w:rsid w:val="5F234C8D"/>
    <w:rsid w:val="5F4E79EC"/>
    <w:rsid w:val="5F7072ED"/>
    <w:rsid w:val="5F872DBA"/>
    <w:rsid w:val="5FF05A6E"/>
    <w:rsid w:val="5FF139AA"/>
    <w:rsid w:val="5FF217E7"/>
    <w:rsid w:val="6007437D"/>
    <w:rsid w:val="600F4BD9"/>
    <w:rsid w:val="601A4ADF"/>
    <w:rsid w:val="602964C3"/>
    <w:rsid w:val="60646E9C"/>
    <w:rsid w:val="60734BE8"/>
    <w:rsid w:val="60AF1502"/>
    <w:rsid w:val="60B147BB"/>
    <w:rsid w:val="60F53012"/>
    <w:rsid w:val="60F56BEA"/>
    <w:rsid w:val="61007F33"/>
    <w:rsid w:val="610F3073"/>
    <w:rsid w:val="61132D31"/>
    <w:rsid w:val="612F4575"/>
    <w:rsid w:val="615A2207"/>
    <w:rsid w:val="61AA5B18"/>
    <w:rsid w:val="61D57ACF"/>
    <w:rsid w:val="620E6701"/>
    <w:rsid w:val="622E67AC"/>
    <w:rsid w:val="623062AB"/>
    <w:rsid w:val="62515ED0"/>
    <w:rsid w:val="62685D90"/>
    <w:rsid w:val="62804F25"/>
    <w:rsid w:val="62815E8B"/>
    <w:rsid w:val="62937DDF"/>
    <w:rsid w:val="62B51729"/>
    <w:rsid w:val="62C33684"/>
    <w:rsid w:val="62DD213A"/>
    <w:rsid w:val="62E755CE"/>
    <w:rsid w:val="63004757"/>
    <w:rsid w:val="63055B8E"/>
    <w:rsid w:val="633444C2"/>
    <w:rsid w:val="63375405"/>
    <w:rsid w:val="637955C0"/>
    <w:rsid w:val="63F747AF"/>
    <w:rsid w:val="64064C5F"/>
    <w:rsid w:val="64180A39"/>
    <w:rsid w:val="64410F8F"/>
    <w:rsid w:val="64546A6B"/>
    <w:rsid w:val="647A7D9E"/>
    <w:rsid w:val="648F1F78"/>
    <w:rsid w:val="64EB4CD0"/>
    <w:rsid w:val="64EE5B5A"/>
    <w:rsid w:val="650B4A55"/>
    <w:rsid w:val="652A6837"/>
    <w:rsid w:val="65501C97"/>
    <w:rsid w:val="65680A67"/>
    <w:rsid w:val="6595132B"/>
    <w:rsid w:val="65C03F77"/>
    <w:rsid w:val="66037674"/>
    <w:rsid w:val="661972CE"/>
    <w:rsid w:val="66746168"/>
    <w:rsid w:val="668B7FA9"/>
    <w:rsid w:val="668D24AD"/>
    <w:rsid w:val="669C425A"/>
    <w:rsid w:val="66A328C6"/>
    <w:rsid w:val="66A43166"/>
    <w:rsid w:val="66D47E98"/>
    <w:rsid w:val="67095A42"/>
    <w:rsid w:val="675A1EE0"/>
    <w:rsid w:val="67703C1E"/>
    <w:rsid w:val="67797677"/>
    <w:rsid w:val="6794260A"/>
    <w:rsid w:val="679E4031"/>
    <w:rsid w:val="67FD6DCA"/>
    <w:rsid w:val="68407038"/>
    <w:rsid w:val="68554245"/>
    <w:rsid w:val="68567AC0"/>
    <w:rsid w:val="6892113C"/>
    <w:rsid w:val="68D221B5"/>
    <w:rsid w:val="690C1007"/>
    <w:rsid w:val="6958090C"/>
    <w:rsid w:val="696E0203"/>
    <w:rsid w:val="6A2D1B35"/>
    <w:rsid w:val="6A4A042A"/>
    <w:rsid w:val="6A791ACC"/>
    <w:rsid w:val="6A7A5C36"/>
    <w:rsid w:val="6AD47463"/>
    <w:rsid w:val="6B0460EA"/>
    <w:rsid w:val="6B213080"/>
    <w:rsid w:val="6B2B5A76"/>
    <w:rsid w:val="6B2D235E"/>
    <w:rsid w:val="6B603EF6"/>
    <w:rsid w:val="6B875C31"/>
    <w:rsid w:val="6BC32289"/>
    <w:rsid w:val="6C0D3C67"/>
    <w:rsid w:val="6C277408"/>
    <w:rsid w:val="6C2E614A"/>
    <w:rsid w:val="6C772CDC"/>
    <w:rsid w:val="6C8269E6"/>
    <w:rsid w:val="6C8B697F"/>
    <w:rsid w:val="6CAC662B"/>
    <w:rsid w:val="6CB12A65"/>
    <w:rsid w:val="6CD15049"/>
    <w:rsid w:val="6CD96F13"/>
    <w:rsid w:val="6CE213ED"/>
    <w:rsid w:val="6CF92288"/>
    <w:rsid w:val="6D2C20C4"/>
    <w:rsid w:val="6D333546"/>
    <w:rsid w:val="6D3E250F"/>
    <w:rsid w:val="6D8152A3"/>
    <w:rsid w:val="6DCE3970"/>
    <w:rsid w:val="6DDA287B"/>
    <w:rsid w:val="6DDF59BC"/>
    <w:rsid w:val="6DEF4A1B"/>
    <w:rsid w:val="6DFC300F"/>
    <w:rsid w:val="6E0461F2"/>
    <w:rsid w:val="6E3A6474"/>
    <w:rsid w:val="6E480822"/>
    <w:rsid w:val="6E9672D3"/>
    <w:rsid w:val="6ECE1C8F"/>
    <w:rsid w:val="6ED2655E"/>
    <w:rsid w:val="6EE60B34"/>
    <w:rsid w:val="6F1B5C75"/>
    <w:rsid w:val="6FB04375"/>
    <w:rsid w:val="6FB721E8"/>
    <w:rsid w:val="6FC8445C"/>
    <w:rsid w:val="6FDA65C4"/>
    <w:rsid w:val="6FF60E7F"/>
    <w:rsid w:val="7007191A"/>
    <w:rsid w:val="700A492A"/>
    <w:rsid w:val="70541BAB"/>
    <w:rsid w:val="70780161"/>
    <w:rsid w:val="70946E3F"/>
    <w:rsid w:val="70BF0980"/>
    <w:rsid w:val="710767F5"/>
    <w:rsid w:val="712C3D34"/>
    <w:rsid w:val="7170758A"/>
    <w:rsid w:val="71760AFA"/>
    <w:rsid w:val="71905D2D"/>
    <w:rsid w:val="719451AA"/>
    <w:rsid w:val="71CD3A81"/>
    <w:rsid w:val="71DE1BCB"/>
    <w:rsid w:val="72183C07"/>
    <w:rsid w:val="72210707"/>
    <w:rsid w:val="725517D3"/>
    <w:rsid w:val="72B42F80"/>
    <w:rsid w:val="72D41A03"/>
    <w:rsid w:val="732E0256"/>
    <w:rsid w:val="737B7D8C"/>
    <w:rsid w:val="73B93DAA"/>
    <w:rsid w:val="73BF2655"/>
    <w:rsid w:val="73C431CE"/>
    <w:rsid w:val="73CD06C9"/>
    <w:rsid w:val="74392CE9"/>
    <w:rsid w:val="744B062E"/>
    <w:rsid w:val="74506F1E"/>
    <w:rsid w:val="748D3F5D"/>
    <w:rsid w:val="748E5C22"/>
    <w:rsid w:val="74A470FC"/>
    <w:rsid w:val="74B67125"/>
    <w:rsid w:val="74E118ED"/>
    <w:rsid w:val="74E50238"/>
    <w:rsid w:val="74EC3E8C"/>
    <w:rsid w:val="75122AAC"/>
    <w:rsid w:val="756B4D99"/>
    <w:rsid w:val="757B2AA7"/>
    <w:rsid w:val="75A530A6"/>
    <w:rsid w:val="75F05440"/>
    <w:rsid w:val="76175E98"/>
    <w:rsid w:val="76670653"/>
    <w:rsid w:val="768A0F6F"/>
    <w:rsid w:val="768C1703"/>
    <w:rsid w:val="76AE3ADE"/>
    <w:rsid w:val="76C52057"/>
    <w:rsid w:val="76DF3A66"/>
    <w:rsid w:val="772D3CE6"/>
    <w:rsid w:val="775218F9"/>
    <w:rsid w:val="77842DC1"/>
    <w:rsid w:val="77995B2B"/>
    <w:rsid w:val="77F031F5"/>
    <w:rsid w:val="78396F11"/>
    <w:rsid w:val="78AD2B67"/>
    <w:rsid w:val="78BC1398"/>
    <w:rsid w:val="78BE5090"/>
    <w:rsid w:val="78C240EC"/>
    <w:rsid w:val="78CE1E7A"/>
    <w:rsid w:val="79196DCB"/>
    <w:rsid w:val="797B20E4"/>
    <w:rsid w:val="79FD6A5C"/>
    <w:rsid w:val="7A0E41AB"/>
    <w:rsid w:val="7A165618"/>
    <w:rsid w:val="7A2A1C30"/>
    <w:rsid w:val="7A392C03"/>
    <w:rsid w:val="7A3A0F6F"/>
    <w:rsid w:val="7A51096C"/>
    <w:rsid w:val="7A9077EB"/>
    <w:rsid w:val="7AA67374"/>
    <w:rsid w:val="7ACB0118"/>
    <w:rsid w:val="7AE31DA6"/>
    <w:rsid w:val="7B611D89"/>
    <w:rsid w:val="7B6E7E7C"/>
    <w:rsid w:val="7BB540B3"/>
    <w:rsid w:val="7BDC5E6E"/>
    <w:rsid w:val="7C17155B"/>
    <w:rsid w:val="7C1E7D90"/>
    <w:rsid w:val="7C4A5AF7"/>
    <w:rsid w:val="7C53318B"/>
    <w:rsid w:val="7C9C690A"/>
    <w:rsid w:val="7CA868F6"/>
    <w:rsid w:val="7CD23AF8"/>
    <w:rsid w:val="7D366548"/>
    <w:rsid w:val="7D474AC8"/>
    <w:rsid w:val="7D486B81"/>
    <w:rsid w:val="7D7B0AB2"/>
    <w:rsid w:val="7D893333"/>
    <w:rsid w:val="7D9462F6"/>
    <w:rsid w:val="7DA0427E"/>
    <w:rsid w:val="7DB8041E"/>
    <w:rsid w:val="7DCD3964"/>
    <w:rsid w:val="7DDB16B4"/>
    <w:rsid w:val="7DDD71DA"/>
    <w:rsid w:val="7DF90F65"/>
    <w:rsid w:val="7E062759"/>
    <w:rsid w:val="7E131425"/>
    <w:rsid w:val="7E3B15EA"/>
    <w:rsid w:val="7E803C44"/>
    <w:rsid w:val="7E992973"/>
    <w:rsid w:val="7ECD536E"/>
    <w:rsid w:val="7ED05403"/>
    <w:rsid w:val="7EDA459B"/>
    <w:rsid w:val="7F0D2D34"/>
    <w:rsid w:val="7F127A9A"/>
    <w:rsid w:val="7F180C83"/>
    <w:rsid w:val="7F1D01D6"/>
    <w:rsid w:val="7F5716CE"/>
    <w:rsid w:val="7F627A56"/>
    <w:rsid w:val="7F961416"/>
    <w:rsid w:val="7F9C361A"/>
    <w:rsid w:val="7FB76B7B"/>
    <w:rsid w:val="7FC30A0D"/>
    <w:rsid w:val="7FC92745"/>
    <w:rsid w:val="FFACBCC2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9" w:semiHidden="0" w:name="heading 3"/>
    <w:lsdException w:qFormat="1" w:uiPriority="0" w:semiHidden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qFormat="1"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qFormat="1"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99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unhideWhenUsed="0" w:uiPriority="0" w:semiHidden="0" w:name="HTML Preformatted"/>
    <w:lsdException w:qFormat="1"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semiHidden="0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48"/>
    <w:autoRedefine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4">
    <w:name w:val="heading 2"/>
    <w:basedOn w:val="1"/>
    <w:next w:val="5"/>
    <w:link w:val="46"/>
    <w:autoRedefine/>
    <w:unhideWhenUsed/>
    <w:qFormat/>
    <w:uiPriority w:val="0"/>
    <w:pPr>
      <w:spacing w:beforeAutospacing="1" w:afterAutospacing="1"/>
      <w:jc w:val="left"/>
      <w:outlineLvl w:val="1"/>
    </w:pPr>
    <w:rPr>
      <w:rFonts w:hint="eastAsia" w:ascii="宋体" w:hAnsi="宋体" w:eastAsia="宋体" w:cs="Times New Roman"/>
      <w:b/>
      <w:kern w:val="0"/>
      <w:sz w:val="36"/>
      <w:szCs w:val="36"/>
    </w:rPr>
  </w:style>
  <w:style w:type="paragraph" w:styleId="5">
    <w:name w:val="heading 3"/>
    <w:basedOn w:val="1"/>
    <w:next w:val="1"/>
    <w:link w:val="52"/>
    <w:autoRedefine/>
    <w:unhideWhenUsed/>
    <w:qFormat/>
    <w:uiPriority w:val="9"/>
    <w:pPr>
      <w:keepNext/>
      <w:keepLines/>
      <w:spacing w:before="260" w:after="260" w:line="416" w:lineRule="auto"/>
      <w:outlineLvl w:val="2"/>
    </w:pPr>
    <w:rPr>
      <w:rFonts w:eastAsia="仿宋"/>
      <w:b/>
      <w:bCs/>
      <w:sz w:val="28"/>
      <w:szCs w:val="32"/>
    </w:rPr>
  </w:style>
  <w:style w:type="paragraph" w:styleId="6">
    <w:name w:val="heading 4"/>
    <w:basedOn w:val="1"/>
    <w:next w:val="1"/>
    <w:autoRedefine/>
    <w:unhideWhenUsed/>
    <w:qFormat/>
    <w:uiPriority w:val="0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7">
    <w:name w:val="heading 5"/>
    <w:basedOn w:val="1"/>
    <w:next w:val="1"/>
    <w:link w:val="51"/>
    <w:autoRedefine/>
    <w:unhideWhenUsed/>
    <w:qFormat/>
    <w:uiPriority w:val="0"/>
    <w:pPr>
      <w:spacing w:beforeAutospacing="1" w:afterAutospacing="1"/>
      <w:jc w:val="left"/>
      <w:outlineLvl w:val="4"/>
    </w:pPr>
    <w:rPr>
      <w:rFonts w:hint="eastAsia" w:ascii="宋体" w:hAnsi="宋体" w:eastAsia="宋体" w:cs="Times New Roman"/>
      <w:b/>
      <w:kern w:val="0"/>
      <w:sz w:val="20"/>
      <w:szCs w:val="20"/>
    </w:rPr>
  </w:style>
  <w:style w:type="character" w:default="1" w:styleId="27">
    <w:name w:val="Default Paragraph Font"/>
    <w:autoRedefine/>
    <w:unhideWhenUsed/>
    <w:qFormat/>
    <w:uiPriority w:val="1"/>
  </w:style>
  <w:style w:type="table" w:default="1" w:styleId="25">
    <w:name w:val="Normal Table"/>
    <w:autoRedefine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a heading"/>
    <w:basedOn w:val="1"/>
    <w:next w:val="1"/>
    <w:autoRedefine/>
    <w:qFormat/>
    <w:uiPriority w:val="0"/>
    <w:pPr>
      <w:spacing w:before="120"/>
    </w:pPr>
    <w:rPr>
      <w:rFonts w:ascii="Arial" w:hAnsi="Arial"/>
      <w:sz w:val="24"/>
      <w:szCs w:val="20"/>
    </w:rPr>
  </w:style>
  <w:style w:type="paragraph" w:styleId="8">
    <w:name w:val="toc 7"/>
    <w:basedOn w:val="1"/>
    <w:next w:val="1"/>
    <w:autoRedefine/>
    <w:unhideWhenUsed/>
    <w:qFormat/>
    <w:uiPriority w:val="39"/>
    <w:pPr>
      <w:ind w:left="2520" w:leftChars="1200"/>
    </w:pPr>
    <w:rPr>
      <w:szCs w:val="22"/>
    </w:rPr>
  </w:style>
  <w:style w:type="paragraph" w:styleId="9">
    <w:name w:val="Normal Indent"/>
    <w:basedOn w:val="1"/>
    <w:autoRedefine/>
    <w:qFormat/>
    <w:uiPriority w:val="0"/>
    <w:pPr>
      <w:ind w:firstLine="420"/>
    </w:pPr>
  </w:style>
  <w:style w:type="paragraph" w:styleId="10">
    <w:name w:val="Body Text"/>
    <w:basedOn w:val="1"/>
    <w:autoRedefine/>
    <w:qFormat/>
    <w:uiPriority w:val="0"/>
    <w:pPr>
      <w:spacing w:after="120"/>
    </w:pPr>
    <w:rPr>
      <w:rFonts w:ascii="宋体" w:hAnsi="宋体"/>
      <w:sz w:val="28"/>
    </w:rPr>
  </w:style>
  <w:style w:type="paragraph" w:styleId="11">
    <w:name w:val="List Bullet 2"/>
    <w:basedOn w:val="1"/>
    <w:autoRedefine/>
    <w:qFormat/>
    <w:uiPriority w:val="0"/>
    <w:pPr>
      <w:numPr>
        <w:ilvl w:val="0"/>
        <w:numId w:val="1"/>
      </w:numPr>
    </w:pPr>
  </w:style>
  <w:style w:type="paragraph" w:styleId="12">
    <w:name w:val="toc 5"/>
    <w:basedOn w:val="1"/>
    <w:next w:val="1"/>
    <w:autoRedefine/>
    <w:qFormat/>
    <w:uiPriority w:val="39"/>
    <w:pPr>
      <w:ind w:left="1680" w:leftChars="800"/>
    </w:pPr>
  </w:style>
  <w:style w:type="paragraph" w:styleId="13">
    <w:name w:val="toc 3"/>
    <w:basedOn w:val="1"/>
    <w:next w:val="1"/>
    <w:autoRedefine/>
    <w:qFormat/>
    <w:uiPriority w:val="39"/>
    <w:pPr>
      <w:ind w:left="840" w:leftChars="400"/>
    </w:pPr>
  </w:style>
  <w:style w:type="paragraph" w:styleId="14">
    <w:name w:val="Plain Text"/>
    <w:basedOn w:val="1"/>
    <w:autoRedefine/>
    <w:qFormat/>
    <w:uiPriority w:val="99"/>
    <w:rPr>
      <w:rFonts w:ascii="宋体" w:hAnsi="Courier New" w:eastAsia="宋体" w:cs="Times New Roman"/>
      <w:snapToGrid w:val="0"/>
      <w:szCs w:val="22"/>
    </w:rPr>
  </w:style>
  <w:style w:type="paragraph" w:styleId="15">
    <w:name w:val="toc 8"/>
    <w:basedOn w:val="1"/>
    <w:next w:val="1"/>
    <w:autoRedefine/>
    <w:unhideWhenUsed/>
    <w:qFormat/>
    <w:uiPriority w:val="39"/>
    <w:pPr>
      <w:ind w:left="2940" w:leftChars="1400"/>
    </w:pPr>
    <w:rPr>
      <w:szCs w:val="22"/>
    </w:rPr>
  </w:style>
  <w:style w:type="paragraph" w:styleId="16">
    <w:name w:val="Balloon Text"/>
    <w:basedOn w:val="1"/>
    <w:link w:val="59"/>
    <w:autoRedefine/>
    <w:qFormat/>
    <w:uiPriority w:val="0"/>
    <w:rPr>
      <w:sz w:val="18"/>
      <w:szCs w:val="18"/>
    </w:rPr>
  </w:style>
  <w:style w:type="paragraph" w:styleId="17">
    <w:name w:val="footer"/>
    <w:basedOn w:val="1"/>
    <w:link w:val="57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8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9">
    <w:name w:val="toc 1"/>
    <w:basedOn w:val="1"/>
    <w:next w:val="1"/>
    <w:autoRedefine/>
    <w:qFormat/>
    <w:uiPriority w:val="39"/>
  </w:style>
  <w:style w:type="paragraph" w:styleId="20">
    <w:name w:val="toc 4"/>
    <w:basedOn w:val="1"/>
    <w:next w:val="1"/>
    <w:autoRedefine/>
    <w:qFormat/>
    <w:uiPriority w:val="39"/>
    <w:pPr>
      <w:ind w:left="1260" w:leftChars="600"/>
    </w:pPr>
  </w:style>
  <w:style w:type="paragraph" w:styleId="21">
    <w:name w:val="toc 6"/>
    <w:basedOn w:val="1"/>
    <w:next w:val="1"/>
    <w:autoRedefine/>
    <w:unhideWhenUsed/>
    <w:qFormat/>
    <w:uiPriority w:val="39"/>
    <w:pPr>
      <w:ind w:left="2100" w:leftChars="1000"/>
    </w:pPr>
    <w:rPr>
      <w:szCs w:val="22"/>
    </w:rPr>
  </w:style>
  <w:style w:type="paragraph" w:styleId="22">
    <w:name w:val="toc 2"/>
    <w:basedOn w:val="1"/>
    <w:next w:val="1"/>
    <w:autoRedefine/>
    <w:qFormat/>
    <w:uiPriority w:val="39"/>
    <w:pPr>
      <w:ind w:left="420" w:leftChars="200"/>
    </w:pPr>
  </w:style>
  <w:style w:type="paragraph" w:styleId="23">
    <w:name w:val="toc 9"/>
    <w:basedOn w:val="1"/>
    <w:next w:val="1"/>
    <w:autoRedefine/>
    <w:unhideWhenUsed/>
    <w:qFormat/>
    <w:uiPriority w:val="39"/>
    <w:pPr>
      <w:ind w:left="3360" w:leftChars="1600"/>
    </w:pPr>
    <w:rPr>
      <w:szCs w:val="22"/>
    </w:rPr>
  </w:style>
  <w:style w:type="paragraph" w:styleId="24">
    <w:name w:val="Normal (Web)"/>
    <w:basedOn w:val="1"/>
    <w:autoRedefine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table" w:styleId="26">
    <w:name w:val="Table Grid"/>
    <w:basedOn w:val="25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28">
    <w:name w:val="Strong"/>
    <w:basedOn w:val="27"/>
    <w:autoRedefine/>
    <w:qFormat/>
    <w:uiPriority w:val="0"/>
    <w:rPr>
      <w:b/>
    </w:rPr>
  </w:style>
  <w:style w:type="character" w:styleId="29">
    <w:name w:val="FollowedHyperlink"/>
    <w:basedOn w:val="27"/>
    <w:autoRedefine/>
    <w:qFormat/>
    <w:uiPriority w:val="0"/>
    <w:rPr>
      <w:color w:val="337AB7"/>
      <w:sz w:val="21"/>
      <w:szCs w:val="21"/>
      <w:u w:val="none"/>
    </w:rPr>
  </w:style>
  <w:style w:type="character" w:styleId="30">
    <w:name w:val="Emphasis"/>
    <w:basedOn w:val="27"/>
    <w:autoRedefine/>
    <w:qFormat/>
    <w:uiPriority w:val="0"/>
    <w:rPr>
      <w:i/>
    </w:rPr>
  </w:style>
  <w:style w:type="character" w:styleId="31">
    <w:name w:val="HTML Definition"/>
    <w:basedOn w:val="27"/>
    <w:autoRedefine/>
    <w:qFormat/>
    <w:uiPriority w:val="0"/>
    <w:rPr>
      <w:i/>
    </w:rPr>
  </w:style>
  <w:style w:type="character" w:styleId="32">
    <w:name w:val="Hyperlink"/>
    <w:basedOn w:val="27"/>
    <w:autoRedefine/>
    <w:qFormat/>
    <w:uiPriority w:val="99"/>
    <w:rPr>
      <w:color w:val="0000FF"/>
      <w:u w:val="single"/>
    </w:rPr>
  </w:style>
  <w:style w:type="character" w:styleId="33">
    <w:name w:val="HTML Code"/>
    <w:basedOn w:val="27"/>
    <w:autoRedefine/>
    <w:qFormat/>
    <w:uiPriority w:val="0"/>
    <w:rPr>
      <w:rFonts w:hint="default" w:ascii="Consolas" w:hAnsi="Consolas" w:eastAsia="Consolas" w:cs="Consolas"/>
      <w:color w:val="C7254E"/>
      <w:sz w:val="21"/>
      <w:szCs w:val="21"/>
      <w:shd w:val="clear" w:color="auto" w:fill="F9F2F4"/>
    </w:rPr>
  </w:style>
  <w:style w:type="character" w:styleId="34">
    <w:name w:val="HTML Keyboard"/>
    <w:basedOn w:val="27"/>
    <w:autoRedefine/>
    <w:qFormat/>
    <w:uiPriority w:val="0"/>
    <w:rPr>
      <w:rFonts w:hint="default" w:ascii="Consolas" w:hAnsi="Consolas" w:eastAsia="Consolas" w:cs="Consolas"/>
      <w:color w:val="FFFFFF"/>
      <w:sz w:val="21"/>
      <w:szCs w:val="21"/>
      <w:shd w:val="clear" w:color="auto" w:fill="333333"/>
    </w:rPr>
  </w:style>
  <w:style w:type="character" w:styleId="35">
    <w:name w:val="HTML Sample"/>
    <w:basedOn w:val="27"/>
    <w:autoRedefine/>
    <w:qFormat/>
    <w:uiPriority w:val="0"/>
    <w:rPr>
      <w:rFonts w:ascii="Consolas" w:hAnsi="Consolas" w:eastAsia="Consolas" w:cs="Consolas"/>
      <w:sz w:val="21"/>
      <w:szCs w:val="21"/>
    </w:rPr>
  </w:style>
  <w:style w:type="paragraph" w:customStyle="1" w:styleId="36">
    <w:name w:val="Default"/>
    <w:next w:val="1"/>
    <w:autoRedefine/>
    <w:qFormat/>
    <w:uiPriority w:val="0"/>
    <w:pPr>
      <w:widowControl w:val="0"/>
      <w:autoSpaceDE w:val="0"/>
      <w:autoSpaceDN w:val="0"/>
      <w:adjustRightInd w:val="0"/>
    </w:pPr>
    <w:rPr>
      <w:rFonts w:ascii="方正姚体简体" w:hAnsi="Calibri" w:eastAsia="方正姚体简体" w:cs="方正姚体简体"/>
      <w:color w:val="000000"/>
      <w:sz w:val="24"/>
      <w:szCs w:val="24"/>
      <w:lang w:val="en-US" w:eastAsia="zh-CN" w:bidi="ar-SA"/>
    </w:rPr>
  </w:style>
  <w:style w:type="paragraph" w:customStyle="1" w:styleId="37">
    <w:name w:val="1"/>
    <w:next w:val="14"/>
    <w:autoRedefine/>
    <w:qFormat/>
    <w:uiPriority w:val="0"/>
    <w:pPr>
      <w:widowControl w:val="0"/>
      <w:jc w:val="both"/>
    </w:pPr>
    <w:rPr>
      <w:rFonts w:ascii="宋体" w:hAnsi="Courier New" w:eastAsia="宋体" w:cs="Times New Roman"/>
      <w:szCs w:val="21"/>
      <w:lang w:val="en-US" w:eastAsia="zh-CN" w:bidi="ar-SA"/>
    </w:rPr>
  </w:style>
  <w:style w:type="paragraph" w:customStyle="1" w:styleId="38">
    <w:name w:val="CM17"/>
    <w:basedOn w:val="1"/>
    <w:next w:val="1"/>
    <w:autoRedefine/>
    <w:qFormat/>
    <w:uiPriority w:val="0"/>
    <w:pPr>
      <w:autoSpaceDE w:val="0"/>
      <w:autoSpaceDN w:val="0"/>
      <w:adjustRightInd w:val="0"/>
      <w:spacing w:after="388"/>
      <w:jc w:val="left"/>
    </w:pPr>
    <w:rPr>
      <w:rFonts w:ascii="方正姚体简体" w:eastAsia="方正姚体简体"/>
      <w:kern w:val="0"/>
      <w:sz w:val="24"/>
    </w:rPr>
  </w:style>
  <w:style w:type="paragraph" w:customStyle="1" w:styleId="39">
    <w:name w:val="CM15"/>
    <w:basedOn w:val="36"/>
    <w:next w:val="36"/>
    <w:autoRedefine/>
    <w:qFormat/>
    <w:uiPriority w:val="0"/>
    <w:pPr>
      <w:spacing w:line="580" w:lineRule="atLeast"/>
    </w:pPr>
    <w:rPr>
      <w:rFonts w:cs="Times New Roman"/>
      <w:color w:val="auto"/>
    </w:rPr>
  </w:style>
  <w:style w:type="character" w:customStyle="1" w:styleId="40">
    <w:name w:val="font41"/>
    <w:basedOn w:val="27"/>
    <w:autoRedefine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  <w:style w:type="character" w:customStyle="1" w:styleId="41">
    <w:name w:val="font71"/>
    <w:basedOn w:val="27"/>
    <w:autoRedefine/>
    <w:qFormat/>
    <w:uiPriority w:val="0"/>
    <w:rPr>
      <w:rFonts w:hint="default" w:ascii="Times New Roman" w:hAnsi="Times New Roman" w:cs="Times New Roman"/>
      <w:color w:val="000000"/>
      <w:sz w:val="22"/>
      <w:szCs w:val="22"/>
      <w:u w:val="none"/>
    </w:rPr>
  </w:style>
  <w:style w:type="character" w:customStyle="1" w:styleId="42">
    <w:name w:val="font61"/>
    <w:basedOn w:val="27"/>
    <w:autoRedefine/>
    <w:qFormat/>
    <w:uiPriority w:val="0"/>
    <w:rPr>
      <w:rFonts w:hint="default" w:ascii="Times New Roman" w:hAnsi="Times New Roman" w:cs="Times New Roman"/>
      <w:color w:val="000000"/>
      <w:sz w:val="20"/>
      <w:szCs w:val="20"/>
      <w:u w:val="none"/>
    </w:rPr>
  </w:style>
  <w:style w:type="paragraph" w:customStyle="1" w:styleId="43">
    <w:name w:val="No Spacing"/>
    <w:autoRedefine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customStyle="1" w:styleId="44">
    <w:name w:val="neuhtctextarea1"/>
    <w:basedOn w:val="27"/>
    <w:autoRedefine/>
    <w:qFormat/>
    <w:uiPriority w:val="0"/>
    <w:rPr>
      <w:rFonts w:hint="default" w:ascii="Verdana" w:hAnsi="Verdana" w:cs="Verdana"/>
      <w:color w:val="000000"/>
      <w:sz w:val="18"/>
      <w:szCs w:val="18"/>
    </w:rPr>
  </w:style>
  <w:style w:type="paragraph" w:customStyle="1" w:styleId="45">
    <w:name w:val="1.2"/>
    <w:basedOn w:val="1"/>
    <w:autoRedefine/>
    <w:qFormat/>
    <w:uiPriority w:val="0"/>
    <w:pPr>
      <w:adjustRightInd w:val="0"/>
      <w:snapToGrid w:val="0"/>
      <w:spacing w:line="560" w:lineRule="exact"/>
      <w:ind w:firstLine="566" w:firstLineChars="177"/>
      <w:outlineLvl w:val="1"/>
    </w:pPr>
    <w:rPr>
      <w:rFonts w:ascii="方正小标宋简体" w:hAnsi="宋体" w:eastAsia="方正小标宋简体"/>
      <w:sz w:val="32"/>
      <w:szCs w:val="32"/>
    </w:rPr>
  </w:style>
  <w:style w:type="character" w:customStyle="1" w:styleId="46">
    <w:name w:val="标题 2 Char"/>
    <w:basedOn w:val="27"/>
    <w:link w:val="4"/>
    <w:autoRedefine/>
    <w:qFormat/>
    <w:uiPriority w:val="99"/>
    <w:rPr>
      <w:rFonts w:hint="eastAsia" w:ascii="宋体" w:hAnsi="宋体" w:eastAsia="宋体" w:cs="宋体"/>
      <w:b/>
      <w:kern w:val="0"/>
      <w:sz w:val="36"/>
      <w:szCs w:val="36"/>
      <w:lang w:val="en-US" w:eastAsia="zh-CN"/>
    </w:rPr>
  </w:style>
  <w:style w:type="paragraph" w:customStyle="1" w:styleId="47">
    <w:name w:val="列表段落1"/>
    <w:basedOn w:val="1"/>
    <w:autoRedefine/>
    <w:qFormat/>
    <w:uiPriority w:val="34"/>
    <w:pPr>
      <w:ind w:firstLine="420" w:firstLineChars="200"/>
    </w:pPr>
  </w:style>
  <w:style w:type="character" w:customStyle="1" w:styleId="48">
    <w:name w:val="标题 1 Char"/>
    <w:link w:val="3"/>
    <w:autoRedefine/>
    <w:qFormat/>
    <w:uiPriority w:val="0"/>
    <w:rPr>
      <w:b/>
      <w:kern w:val="44"/>
      <w:sz w:val="44"/>
    </w:rPr>
  </w:style>
  <w:style w:type="paragraph" w:customStyle="1" w:styleId="49">
    <w:name w:val="List Paragraph1"/>
    <w:basedOn w:val="1"/>
    <w:autoRedefine/>
    <w:qFormat/>
    <w:uiPriority w:val="0"/>
    <w:pPr>
      <w:ind w:firstLine="420" w:firstLineChars="200"/>
    </w:pPr>
    <w:rPr>
      <w:rFonts w:ascii="Calibri" w:hAnsi="Calibri"/>
      <w:szCs w:val="21"/>
    </w:rPr>
  </w:style>
  <w:style w:type="paragraph" w:customStyle="1" w:styleId="50">
    <w:name w:val="列表段落2"/>
    <w:basedOn w:val="1"/>
    <w:autoRedefine/>
    <w:qFormat/>
    <w:uiPriority w:val="34"/>
    <w:pPr>
      <w:ind w:firstLine="420" w:firstLineChars="200"/>
    </w:pPr>
  </w:style>
  <w:style w:type="character" w:customStyle="1" w:styleId="51">
    <w:name w:val="标题 5 Char"/>
    <w:link w:val="7"/>
    <w:autoRedefine/>
    <w:qFormat/>
    <w:uiPriority w:val="0"/>
    <w:rPr>
      <w:rFonts w:hint="eastAsia" w:ascii="宋体" w:hAnsi="宋体" w:eastAsia="宋体" w:cs="Times New Roman"/>
      <w:b/>
      <w:kern w:val="0"/>
      <w:sz w:val="20"/>
      <w:szCs w:val="20"/>
    </w:rPr>
  </w:style>
  <w:style w:type="character" w:customStyle="1" w:styleId="52">
    <w:name w:val="标题 3 Char"/>
    <w:link w:val="5"/>
    <w:autoRedefine/>
    <w:qFormat/>
    <w:uiPriority w:val="9"/>
    <w:rPr>
      <w:rFonts w:eastAsia="仿宋"/>
      <w:b/>
      <w:bCs/>
      <w:sz w:val="28"/>
      <w:szCs w:val="32"/>
    </w:rPr>
  </w:style>
  <w:style w:type="character" w:customStyle="1" w:styleId="53">
    <w:name w:val="未处理的提及1"/>
    <w:basedOn w:val="27"/>
    <w:autoRedefine/>
    <w:unhideWhenUsed/>
    <w:qFormat/>
    <w:uiPriority w:val="99"/>
    <w:rPr>
      <w:color w:val="605E5C"/>
      <w:shd w:val="clear" w:color="auto" w:fill="E1DFDD"/>
    </w:rPr>
  </w:style>
  <w:style w:type="character" w:customStyle="1" w:styleId="54">
    <w:name w:val="未处理的提及2"/>
    <w:basedOn w:val="27"/>
    <w:autoRedefine/>
    <w:unhideWhenUsed/>
    <w:qFormat/>
    <w:uiPriority w:val="99"/>
    <w:rPr>
      <w:color w:val="605E5C"/>
      <w:shd w:val="clear" w:color="auto" w:fill="E1DFDD"/>
    </w:rPr>
  </w:style>
  <w:style w:type="paragraph" w:customStyle="1" w:styleId="55">
    <w:name w:val="列表段落3"/>
    <w:basedOn w:val="1"/>
    <w:autoRedefine/>
    <w:qFormat/>
    <w:uiPriority w:val="34"/>
    <w:pPr>
      <w:ind w:firstLine="420" w:firstLineChars="200"/>
    </w:pPr>
  </w:style>
  <w:style w:type="paragraph" w:customStyle="1" w:styleId="56">
    <w:name w:val="TOC 标题1"/>
    <w:basedOn w:val="3"/>
    <w:next w:val="1"/>
    <w:autoRedefine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color w:val="2E75B6" w:themeColor="accent1" w:themeShade="BF"/>
      <w:kern w:val="0"/>
      <w:sz w:val="32"/>
      <w:szCs w:val="32"/>
    </w:rPr>
  </w:style>
  <w:style w:type="character" w:customStyle="1" w:styleId="57">
    <w:name w:val="页脚 Char"/>
    <w:basedOn w:val="27"/>
    <w:link w:val="17"/>
    <w:autoRedefine/>
    <w:qFormat/>
    <w:uiPriority w:val="99"/>
    <w:rPr>
      <w:rFonts w:asciiTheme="minorHAnsi" w:hAnsiTheme="minorHAnsi" w:eastAsiaTheme="minorEastAsia" w:cstheme="minorBidi"/>
      <w:kern w:val="2"/>
      <w:sz w:val="18"/>
      <w:szCs w:val="24"/>
    </w:rPr>
  </w:style>
  <w:style w:type="paragraph" w:customStyle="1" w:styleId="58">
    <w:name w:val="List Paragraph"/>
    <w:basedOn w:val="1"/>
    <w:autoRedefine/>
    <w:qFormat/>
    <w:uiPriority w:val="99"/>
    <w:pPr>
      <w:ind w:firstLine="420" w:firstLineChars="200"/>
    </w:pPr>
  </w:style>
  <w:style w:type="character" w:customStyle="1" w:styleId="59">
    <w:name w:val="批注框文本 Char"/>
    <w:basedOn w:val="27"/>
    <w:link w:val="16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paragraph" w:customStyle="1" w:styleId="60">
    <w:name w:val="样式 样式 左侧:  2 字符 + 左侧:  0.85 厘米 首行缩进:  2 字符1"/>
    <w:basedOn w:val="1"/>
    <w:autoRedefine/>
    <w:qFormat/>
    <w:uiPriority w:val="0"/>
    <w:pPr>
      <w:ind w:left="482" w:firstLine="200"/>
    </w:pPr>
    <w:rPr>
      <w:rFonts w:cs="宋体"/>
      <w:szCs w:val="20"/>
    </w:rPr>
  </w:style>
  <w:style w:type="paragraph" w:customStyle="1" w:styleId="61">
    <w:name w:val="Table Paragraph"/>
    <w:basedOn w:val="1"/>
    <w:autoRedefine/>
    <w:qFormat/>
    <w:uiPriority w:val="1"/>
    <w:rPr>
      <w:rFonts w:ascii="宋体" w:hAnsi="宋体" w:eastAsia="宋体" w:cs="宋体"/>
      <w:lang w:val="zh-CN" w:eastAsia="zh-CN" w:bidi="zh-CN"/>
    </w:rPr>
  </w:style>
  <w:style w:type="character" w:customStyle="1" w:styleId="62">
    <w:name w:val="font11"/>
    <w:basedOn w:val="27"/>
    <w:autoRedefine/>
    <w:qFormat/>
    <w:uiPriority w:val="0"/>
    <w:rPr>
      <w:rFonts w:hint="eastAsia" w:ascii="华文仿宋" w:hAnsi="华文仿宋" w:eastAsia="华文仿宋" w:cs="华文仿宋"/>
      <w:color w:val="000000"/>
      <w:sz w:val="24"/>
      <w:szCs w:val="24"/>
      <w:u w:val="none"/>
    </w:rPr>
  </w:style>
  <w:style w:type="paragraph" w:customStyle="1" w:styleId="63">
    <w:name w:val="WPSOffice手动目录 1"/>
    <w:autoRedefine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64">
    <w:name w:val="WPSOffice手动目录 2"/>
    <w:autoRedefine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65">
    <w:name w:val="WPSOffice手动目录 3"/>
    <w:autoRedefine/>
    <w:qFormat/>
    <w:uiPriority w:val="0"/>
    <w:pPr>
      <w:ind w:leftChars="400"/>
    </w:pPr>
    <w:rPr>
      <w:rFonts w:ascii="Times New Roman" w:hAnsi="Times New Roman" w:eastAsia="宋体" w:cs="Times New Roman"/>
      <w:sz w:val="20"/>
      <w:szCs w:val="20"/>
    </w:rPr>
  </w:style>
  <w:style w:type="character" w:customStyle="1" w:styleId="66">
    <w:name w:val="font101"/>
    <w:basedOn w:val="27"/>
    <w:autoRedefine/>
    <w:qFormat/>
    <w:uiPriority w:val="0"/>
    <w:rPr>
      <w:rFonts w:hint="eastAsia" w:ascii="仿宋" w:hAnsi="仿宋" w:eastAsia="仿宋" w:cs="仿宋"/>
      <w:color w:val="000000"/>
      <w:sz w:val="20"/>
      <w:szCs w:val="20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jpeg"/><Relationship Id="rId8" Type="http://schemas.openxmlformats.org/officeDocument/2006/relationships/image" Target="media/image2.png"/><Relationship Id="rId7" Type="http://schemas.openxmlformats.org/officeDocument/2006/relationships/image" Target="media/image1.jpe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jpe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jpe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jpe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17</Pages>
  <Words>2411</Words>
  <Characters>2560</Characters>
  <Lines>56</Lines>
  <Paragraphs>16</Paragraphs>
  <TotalTime>1</TotalTime>
  <ScaleCrop>false</ScaleCrop>
  <LinksUpToDate>false</LinksUpToDate>
  <CharactersWithSpaces>2639</CharactersWithSpaces>
  <Application>WPS Office_12.1.0.16250_F1E327BC-269C-435d-A152-05C5408002CA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2021-04-29T14:48:00Z</dcterms:created>
  <dc:creator>Administrator</dc:creator>
  <cp:lastModifiedBy>刘先生</cp:lastModifiedBy>
  <cp:lastPrinted>2021-10-22T06:10:00Z</cp:lastPrinted>
  <dcterms:modified xsi:type="dcterms:W3CDTF">2024-03-11T09:30:13Z</dcterms:modified>
  <cp:revision>482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63332873AAEA4D6E9BC22EE553DC9439</vt:lpwstr>
  </property>
</Properties>
</file>