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08" w:type="dxa"/>
          <w:left w:w="108" w:type="dxa"/>
          <w:bottom w:w="108" w:type="dxa"/>
          <w:right w:w="108" w:type="dxa"/>
        </w:tblCellMar>
      </w:tblPr>
      <w:tblGrid>
        <w:gridCol w:w="349"/>
        <w:gridCol w:w="975"/>
        <w:gridCol w:w="4908"/>
        <w:gridCol w:w="709"/>
        <w:gridCol w:w="709"/>
        <w:gridCol w:w="992"/>
        <w:gridCol w:w="1617"/>
        <w:gridCol w:w="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rPr>
          <w:trHeight w:val="258" w:hRule="atLeast"/>
          <w:jc w:val="center"/>
        </w:trPr>
        <w:tc>
          <w:tcPr>
            <w:tcW w:w="10918" w:type="dxa"/>
            <w:gridSpan w:val="8"/>
            <w:tcMar>
              <w:top w:w="15" w:type="dxa"/>
              <w:left w:w="15" w:type="dxa"/>
              <w:right w:w="15" w:type="dxa"/>
            </w:tcMar>
            <w:vAlign w:val="center"/>
          </w:tcPr>
          <w:p>
            <w:pPr>
              <w:jc w:val="left"/>
              <w:rPr>
                <w:sz w:val="24"/>
                <w:szCs w:val="24"/>
                <w:lang w:bidi="ar"/>
              </w:rPr>
            </w:pPr>
            <w:r>
              <w:rPr>
                <w:rFonts w:hint="eastAsia"/>
                <w:lang w:bidi="ar"/>
              </w:rPr>
              <w:t>工程量清单报价表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rPr>
          <w:trHeight w:val="354" w:hRule="atLeast"/>
          <w:jc w:val="center"/>
        </w:trPr>
        <w:tc>
          <w:tcPr>
            <w:tcW w:w="10918" w:type="dxa"/>
            <w:gridSpan w:val="8"/>
            <w:tcMar>
              <w:top w:w="15" w:type="dxa"/>
              <w:left w:w="15" w:type="dxa"/>
              <w:right w:w="15" w:type="dxa"/>
            </w:tcMar>
            <w:vAlign w:val="center"/>
          </w:tcPr>
          <w:p>
            <w:pPr>
              <w:ind w:firstLine="0" w:firstLineChars="0"/>
              <w:rPr>
                <w:lang w:bidi="ar"/>
              </w:rPr>
            </w:pPr>
            <w:bookmarkStart w:id="0" w:name="_GoBack"/>
            <w:r>
              <w:rPr>
                <w:rFonts w:hint="eastAsia"/>
                <w:lang w:bidi="ar"/>
              </w:rPr>
              <w:t>工程名称：安徽大厦网络改造工程</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rPr>
          <w:trHeight w:val="264" w:hRule="atLeast"/>
          <w:jc w:val="center"/>
        </w:trPr>
        <w:tc>
          <w:tcPr>
            <w:tcW w:w="349" w:type="dxa"/>
            <w:vMerge w:val="restart"/>
            <w:shd w:val="clear" w:color="FFFFFF" w:fill="FFFFFF"/>
            <w:tcMar>
              <w:top w:w="15" w:type="dxa"/>
              <w:left w:w="15" w:type="dxa"/>
              <w:right w:w="15" w:type="dxa"/>
            </w:tcMar>
            <w:vAlign w:val="center"/>
          </w:tcPr>
          <w:p>
            <w:pPr>
              <w:jc w:val="left"/>
            </w:pPr>
            <w:r>
              <w:rPr>
                <w:rFonts w:hint="eastAsia"/>
                <w:lang w:bidi="ar"/>
              </w:rPr>
              <w:t>序号</w:t>
            </w:r>
          </w:p>
        </w:tc>
        <w:tc>
          <w:tcPr>
            <w:tcW w:w="975" w:type="dxa"/>
            <w:vMerge w:val="restart"/>
            <w:shd w:val="clear" w:color="FFFFFF" w:fill="FFFFFF"/>
            <w:tcMar>
              <w:top w:w="15" w:type="dxa"/>
              <w:left w:w="15" w:type="dxa"/>
              <w:right w:w="15" w:type="dxa"/>
            </w:tcMar>
            <w:vAlign w:val="center"/>
          </w:tcPr>
          <w:p>
            <w:pPr>
              <w:jc w:val="left"/>
            </w:pPr>
            <w:r>
              <w:rPr>
                <w:rFonts w:hint="eastAsia"/>
                <w:lang w:bidi="ar"/>
              </w:rPr>
              <w:t>项目名称</w:t>
            </w:r>
          </w:p>
        </w:tc>
        <w:tc>
          <w:tcPr>
            <w:tcW w:w="4908" w:type="dxa"/>
            <w:vMerge w:val="restart"/>
            <w:shd w:val="clear" w:color="FFFFFF" w:fill="FFFFFF"/>
            <w:tcMar>
              <w:top w:w="15" w:type="dxa"/>
              <w:left w:w="15" w:type="dxa"/>
              <w:right w:w="15" w:type="dxa"/>
            </w:tcMar>
            <w:vAlign w:val="center"/>
          </w:tcPr>
          <w:p>
            <w:pPr>
              <w:jc w:val="left"/>
              <w:rPr>
                <w:lang w:bidi="ar"/>
              </w:rPr>
            </w:pPr>
            <w:r>
              <w:rPr>
                <w:rFonts w:hint="eastAsia"/>
                <w:lang w:bidi="ar"/>
              </w:rPr>
              <w:t>项目特征描述</w:t>
            </w:r>
          </w:p>
        </w:tc>
        <w:tc>
          <w:tcPr>
            <w:tcW w:w="709" w:type="dxa"/>
            <w:vMerge w:val="restart"/>
            <w:shd w:val="clear" w:color="FFFFFF" w:fill="FFFFFF"/>
            <w:tcMar>
              <w:top w:w="15" w:type="dxa"/>
              <w:left w:w="15" w:type="dxa"/>
              <w:right w:w="15" w:type="dxa"/>
            </w:tcMar>
            <w:vAlign w:val="center"/>
          </w:tcPr>
          <w:p>
            <w:pPr>
              <w:jc w:val="left"/>
              <w:rPr>
                <w:lang w:bidi="ar"/>
              </w:rPr>
            </w:pPr>
            <w:r>
              <w:rPr>
                <w:rFonts w:hint="eastAsia"/>
                <w:lang w:bidi="ar"/>
              </w:rPr>
              <w:t>计量</w:t>
            </w:r>
          </w:p>
          <w:p>
            <w:pPr>
              <w:jc w:val="left"/>
            </w:pPr>
            <w:r>
              <w:rPr>
                <w:rFonts w:hint="eastAsia"/>
                <w:lang w:bidi="ar"/>
              </w:rPr>
              <w:t>单位</w:t>
            </w:r>
          </w:p>
        </w:tc>
        <w:tc>
          <w:tcPr>
            <w:tcW w:w="709" w:type="dxa"/>
            <w:vMerge w:val="restart"/>
            <w:shd w:val="clear" w:color="FFFFFF" w:fill="FFFFFF"/>
            <w:tcMar>
              <w:top w:w="15" w:type="dxa"/>
              <w:left w:w="15" w:type="dxa"/>
              <w:right w:w="15" w:type="dxa"/>
            </w:tcMar>
            <w:vAlign w:val="center"/>
          </w:tcPr>
          <w:p>
            <w:pPr>
              <w:jc w:val="left"/>
            </w:pPr>
            <w:r>
              <w:rPr>
                <w:rFonts w:hint="eastAsia"/>
                <w:lang w:bidi="ar"/>
              </w:rPr>
              <w:t>工程量</w:t>
            </w:r>
          </w:p>
        </w:tc>
        <w:tc>
          <w:tcPr>
            <w:tcW w:w="2609" w:type="dxa"/>
            <w:gridSpan w:val="2"/>
            <w:shd w:val="clear" w:color="FFFFFF" w:fill="FFFFFF"/>
            <w:tcMar>
              <w:top w:w="15" w:type="dxa"/>
              <w:left w:w="15" w:type="dxa"/>
              <w:right w:w="15" w:type="dxa"/>
            </w:tcMar>
            <w:vAlign w:val="center"/>
          </w:tcPr>
          <w:p>
            <w:pPr>
              <w:jc w:val="left"/>
            </w:pPr>
            <w:r>
              <w:rPr>
                <w:rFonts w:hint="eastAsia"/>
              </w:rPr>
              <w:t>金额（元）</w:t>
            </w:r>
          </w:p>
        </w:tc>
        <w:tc>
          <w:tcPr>
            <w:tcW w:w="659" w:type="dxa"/>
            <w:vMerge w:val="restart"/>
            <w:shd w:val="clear" w:color="FFFFFF" w:fill="FFFFFF"/>
            <w:tcMar>
              <w:top w:w="15" w:type="dxa"/>
              <w:left w:w="15" w:type="dxa"/>
              <w:right w:w="15" w:type="dxa"/>
            </w:tcMar>
            <w:vAlign w:val="center"/>
          </w:tcPr>
          <w:p>
            <w:pPr>
              <w:jc w:val="left"/>
            </w:pPr>
            <w:r>
              <w:rPr>
                <w:rFonts w:hint="eastAsia"/>
                <w:lang w:bidi="ar"/>
              </w:rPr>
              <w:t>品牌要求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rPr>
          <w:trHeight w:val="314" w:hRule="atLeast"/>
          <w:jc w:val="center"/>
        </w:trPr>
        <w:tc>
          <w:tcPr>
            <w:tcW w:w="349" w:type="dxa"/>
            <w:vMerge w:val="continue"/>
            <w:shd w:val="clear" w:color="FFFFFF" w:fill="FFFFFF"/>
            <w:tcMar>
              <w:top w:w="15" w:type="dxa"/>
              <w:left w:w="15" w:type="dxa"/>
              <w:right w:w="15" w:type="dxa"/>
            </w:tcMar>
            <w:vAlign w:val="center"/>
          </w:tcPr>
          <w:p>
            <w:pPr>
              <w:jc w:val="left"/>
            </w:pPr>
          </w:p>
        </w:tc>
        <w:tc>
          <w:tcPr>
            <w:tcW w:w="975" w:type="dxa"/>
            <w:vMerge w:val="continue"/>
            <w:shd w:val="clear" w:color="FFFFFF" w:fill="FFFFFF"/>
            <w:tcMar>
              <w:top w:w="15" w:type="dxa"/>
              <w:left w:w="15" w:type="dxa"/>
              <w:right w:w="15" w:type="dxa"/>
            </w:tcMar>
            <w:vAlign w:val="center"/>
          </w:tcPr>
          <w:p>
            <w:pPr>
              <w:jc w:val="left"/>
            </w:pPr>
          </w:p>
        </w:tc>
        <w:tc>
          <w:tcPr>
            <w:tcW w:w="4908" w:type="dxa"/>
            <w:vMerge w:val="continue"/>
            <w:shd w:val="clear" w:color="FFFFFF" w:fill="FFFFFF"/>
            <w:tcMar>
              <w:top w:w="15" w:type="dxa"/>
              <w:left w:w="15" w:type="dxa"/>
              <w:right w:w="15" w:type="dxa"/>
            </w:tcMar>
            <w:vAlign w:val="center"/>
          </w:tcPr>
          <w:p>
            <w:pPr>
              <w:jc w:val="left"/>
              <w:rPr>
                <w:lang w:bidi="ar"/>
              </w:rPr>
            </w:pPr>
          </w:p>
        </w:tc>
        <w:tc>
          <w:tcPr>
            <w:tcW w:w="709" w:type="dxa"/>
            <w:vMerge w:val="continue"/>
            <w:shd w:val="clear" w:color="FFFFFF" w:fill="FFFFFF"/>
            <w:tcMar>
              <w:top w:w="15" w:type="dxa"/>
              <w:left w:w="15" w:type="dxa"/>
              <w:right w:w="15" w:type="dxa"/>
            </w:tcMar>
            <w:vAlign w:val="center"/>
          </w:tcPr>
          <w:p>
            <w:pPr>
              <w:jc w:val="left"/>
            </w:pPr>
          </w:p>
        </w:tc>
        <w:tc>
          <w:tcPr>
            <w:tcW w:w="709" w:type="dxa"/>
            <w:vMerge w:val="continue"/>
            <w:shd w:val="clear" w:color="FFFFFF" w:fill="FFFFFF"/>
            <w:tcMar>
              <w:top w:w="15" w:type="dxa"/>
              <w:left w:w="15" w:type="dxa"/>
              <w:right w:w="15" w:type="dxa"/>
            </w:tcMar>
            <w:vAlign w:val="center"/>
          </w:tcPr>
          <w:p>
            <w:pPr>
              <w:jc w:val="left"/>
            </w:pPr>
          </w:p>
        </w:tc>
        <w:tc>
          <w:tcPr>
            <w:tcW w:w="992" w:type="dxa"/>
            <w:shd w:val="clear" w:color="FFFFFF" w:fill="FFFFFF"/>
            <w:tcMar>
              <w:top w:w="15" w:type="dxa"/>
              <w:left w:w="15" w:type="dxa"/>
              <w:right w:w="15" w:type="dxa"/>
            </w:tcMar>
            <w:vAlign w:val="center"/>
          </w:tcPr>
          <w:p>
            <w:pPr>
              <w:jc w:val="left"/>
            </w:pPr>
            <w:r>
              <w:rPr>
                <w:rFonts w:hint="eastAsia"/>
                <w:lang w:bidi="ar"/>
              </w:rPr>
              <w:t>综合单价</w:t>
            </w:r>
          </w:p>
        </w:tc>
        <w:tc>
          <w:tcPr>
            <w:tcW w:w="1617" w:type="dxa"/>
            <w:shd w:val="clear" w:color="FFFFFF" w:fill="FFFFFF"/>
            <w:tcMar>
              <w:top w:w="15" w:type="dxa"/>
              <w:left w:w="15" w:type="dxa"/>
              <w:right w:w="15" w:type="dxa"/>
            </w:tcMar>
            <w:vAlign w:val="center"/>
          </w:tcPr>
          <w:p>
            <w:pPr>
              <w:jc w:val="left"/>
              <w:rPr>
                <w:lang w:bidi="ar"/>
              </w:rPr>
            </w:pPr>
            <w:r>
              <w:rPr>
                <w:rFonts w:hint="eastAsia"/>
                <w:lang w:bidi="ar"/>
              </w:rPr>
              <w:t>合价</w:t>
            </w:r>
          </w:p>
        </w:tc>
        <w:tc>
          <w:tcPr>
            <w:tcW w:w="659" w:type="dxa"/>
            <w:vMerge w:val="continue"/>
            <w:shd w:val="clear" w:color="FFFFFF" w:fill="FFFFFF"/>
            <w:tcMar>
              <w:top w:w="15" w:type="dxa"/>
              <w:left w:w="15" w:type="dxa"/>
              <w:right w:w="15" w:type="dxa"/>
            </w:tcMar>
            <w:vAlign w:val="center"/>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rPr>
          <w:trHeight w:val="1044" w:hRule="atLeast"/>
          <w:jc w:val="center"/>
        </w:trPr>
        <w:tc>
          <w:tcPr>
            <w:tcW w:w="349" w:type="dxa"/>
            <w:shd w:val="clear" w:color="FFFFFF" w:fill="FFFFFF"/>
            <w:tcMar>
              <w:top w:w="15" w:type="dxa"/>
              <w:left w:w="15" w:type="dxa"/>
              <w:right w:w="15" w:type="dxa"/>
            </w:tcMar>
            <w:vAlign w:val="center"/>
          </w:tcPr>
          <w:p>
            <w:pPr>
              <w:jc w:val="left"/>
            </w:pPr>
            <w:r>
              <w:rPr>
                <w:rFonts w:hint="eastAsia"/>
              </w:rPr>
              <w:t>1</w:t>
            </w:r>
          </w:p>
        </w:tc>
        <w:tc>
          <w:tcPr>
            <w:tcW w:w="975" w:type="dxa"/>
            <w:shd w:val="clear" w:color="FFFFFF" w:fill="FFFFFF"/>
            <w:tcMar>
              <w:top w:w="15" w:type="dxa"/>
              <w:left w:w="15" w:type="dxa"/>
              <w:right w:w="15" w:type="dxa"/>
            </w:tcMar>
            <w:vAlign w:val="center"/>
          </w:tcPr>
          <w:p>
            <w:pPr>
              <w:jc w:val="left"/>
            </w:pPr>
            <w:r>
              <w:rPr>
                <w:rFonts w:hint="eastAsia"/>
              </w:rPr>
              <w:t>上网行为管理</w:t>
            </w:r>
          </w:p>
        </w:tc>
        <w:tc>
          <w:tcPr>
            <w:tcW w:w="4908" w:type="dxa"/>
            <w:shd w:val="clear" w:color="FFFFFF" w:fill="FFFFFF"/>
            <w:tcMar>
              <w:top w:w="15" w:type="dxa"/>
              <w:left w:w="15" w:type="dxa"/>
              <w:right w:w="15" w:type="dxa"/>
            </w:tcMar>
            <w:vAlign w:val="center"/>
          </w:tcPr>
          <w:p>
            <w:r>
              <w:rPr>
                <w:rFonts w:hint="eastAsia"/>
              </w:rPr>
              <w:t>性能参数：网络层吞吐量（大包）：2Gb，应用层吞吐量：150Mb，带宽性能：100Mb，IPSEC VPN加密性能（最高性能）：20Mb，支持用户数：500，准入终端数（支持客户端授权-需单独收费）：250，准入终端数的扩容上限（支持客户端授权-需单独收费）：500，帮助用户构建有效防御体系。</w:t>
            </w:r>
          </w:p>
          <w:p>
            <w:pPr>
              <w:pStyle w:val="5"/>
              <w:numPr>
                <w:ilvl w:val="0"/>
                <w:numId w:val="1"/>
              </w:numPr>
              <w:ind w:firstLineChars="0"/>
              <w:rPr>
                <w:highlight w:val="yellow"/>
              </w:rPr>
            </w:pPr>
            <w:r>
              <w:rPr>
                <w:rFonts w:hint="eastAsia"/>
                <w:highlight w:val="yellow"/>
              </w:rPr>
              <w:t>内置</w:t>
            </w:r>
            <w:r>
              <w:rPr>
                <w:highlight w:val="yellow"/>
              </w:rPr>
              <w:t>DHCP</w:t>
            </w:r>
            <w:r>
              <w:rPr>
                <w:rFonts w:hint="eastAsia"/>
                <w:highlight w:val="yellow"/>
              </w:rPr>
              <w:t>服务。支持多子网地址分配、按</w:t>
            </w:r>
            <w:r>
              <w:rPr>
                <w:highlight w:val="yellow"/>
              </w:rPr>
              <w:t>VLAN</w:t>
            </w:r>
            <w:r>
              <w:rPr>
                <w:rFonts w:hint="eastAsia"/>
                <w:highlight w:val="yellow"/>
              </w:rPr>
              <w:t>固定分配指定的子网地址和按</w:t>
            </w:r>
            <w:r>
              <w:rPr>
                <w:highlight w:val="yellow"/>
              </w:rPr>
              <w:t>MAC</w:t>
            </w:r>
            <w:r>
              <w:rPr>
                <w:rFonts w:hint="eastAsia"/>
                <w:highlight w:val="yellow"/>
              </w:rPr>
              <w:t>分配地址。</w:t>
            </w:r>
          </w:p>
          <w:p>
            <w:pPr>
              <w:pStyle w:val="5"/>
              <w:numPr>
                <w:ilvl w:val="0"/>
                <w:numId w:val="1"/>
              </w:numPr>
              <w:ind w:firstLineChars="0"/>
              <w:rPr>
                <w:highlight w:val="yellow"/>
              </w:rPr>
            </w:pPr>
            <w:r>
              <w:rPr>
                <w:rFonts w:hint="eastAsia"/>
                <w:highlight w:val="yellow"/>
              </w:rPr>
              <w:t>内置</w:t>
            </w:r>
            <w:r>
              <w:rPr>
                <w:highlight w:val="yellow"/>
              </w:rPr>
              <w:t>Portal</w:t>
            </w:r>
            <w:r>
              <w:rPr>
                <w:rFonts w:hint="eastAsia"/>
                <w:highlight w:val="yellow"/>
              </w:rPr>
              <w:t>服务，支持定制认证页面。</w:t>
            </w:r>
          </w:p>
          <w:p>
            <w:pPr>
              <w:pStyle w:val="5"/>
              <w:numPr>
                <w:ilvl w:val="0"/>
                <w:numId w:val="1"/>
              </w:numPr>
              <w:ind w:firstLineChars="0"/>
              <w:rPr>
                <w:highlight w:val="yellow"/>
              </w:rPr>
            </w:pPr>
            <w:r>
              <w:rPr>
                <w:rFonts w:hint="eastAsia"/>
                <w:highlight w:val="yellow"/>
              </w:rPr>
              <w:t>支持多出口接入及负载均衡。提高带宽，实现负载平衡或高可用的功能。支持多出口状态报告。</w:t>
            </w:r>
          </w:p>
          <w:p>
            <w:pPr>
              <w:pStyle w:val="5"/>
              <w:numPr>
                <w:ilvl w:val="0"/>
                <w:numId w:val="1"/>
              </w:numPr>
              <w:ind w:firstLineChars="0"/>
              <w:rPr>
                <w:highlight w:val="yellow"/>
              </w:rPr>
            </w:pPr>
            <w:r>
              <w:rPr>
                <w:rFonts w:hint="eastAsia"/>
                <w:sz w:val="21"/>
                <w:szCs w:val="22"/>
                <w:highlight w:val="yellow"/>
              </w:rPr>
              <w:t>能够支持多</w:t>
            </w:r>
            <w:r>
              <w:rPr>
                <w:sz w:val="21"/>
                <w:szCs w:val="22"/>
                <w:highlight w:val="yellow"/>
              </w:rPr>
              <w:t>ISP</w:t>
            </w:r>
            <w:r>
              <w:rPr>
                <w:rFonts w:hint="eastAsia"/>
                <w:sz w:val="21"/>
                <w:szCs w:val="22"/>
                <w:highlight w:val="yellow"/>
              </w:rPr>
              <w:t>的外线接入，并支持在主</w:t>
            </w:r>
            <w:r>
              <w:rPr>
                <w:sz w:val="21"/>
                <w:szCs w:val="22"/>
                <w:highlight w:val="yellow"/>
              </w:rPr>
              <w:t>ISP</w:t>
            </w:r>
            <w:r>
              <w:rPr>
                <w:rFonts w:hint="eastAsia"/>
                <w:sz w:val="21"/>
                <w:szCs w:val="22"/>
                <w:highlight w:val="yellow"/>
              </w:rPr>
              <w:t>接入出问题时，自动切换到另一个</w:t>
            </w:r>
            <w:r>
              <w:rPr>
                <w:sz w:val="21"/>
                <w:szCs w:val="22"/>
                <w:highlight w:val="yellow"/>
              </w:rPr>
              <w:t>ISP</w:t>
            </w:r>
            <w:r>
              <w:rPr>
                <w:rFonts w:hint="eastAsia"/>
                <w:sz w:val="21"/>
                <w:szCs w:val="22"/>
                <w:highlight w:val="yellow"/>
              </w:rPr>
              <w:t>出口。在多</w:t>
            </w:r>
            <w:r>
              <w:rPr>
                <w:sz w:val="21"/>
                <w:szCs w:val="22"/>
                <w:highlight w:val="yellow"/>
              </w:rPr>
              <w:t>ISP</w:t>
            </w:r>
            <w:r>
              <w:rPr>
                <w:rFonts w:hint="eastAsia"/>
                <w:sz w:val="21"/>
                <w:szCs w:val="22"/>
                <w:highlight w:val="yellow"/>
              </w:rPr>
              <w:t>接入情况下，支持多个目的地址路由表，并支持用户自选出口路由，并可指定用户访问指定出口。</w:t>
            </w:r>
          </w:p>
          <w:p>
            <w:pPr>
              <w:pStyle w:val="5"/>
              <w:numPr>
                <w:ilvl w:val="0"/>
                <w:numId w:val="1"/>
              </w:numPr>
              <w:ind w:firstLineChars="0"/>
              <w:rPr>
                <w:sz w:val="21"/>
                <w:szCs w:val="22"/>
                <w:highlight w:val="yellow"/>
              </w:rPr>
            </w:pPr>
            <w:r>
              <w:rPr>
                <w:rFonts w:hint="eastAsia"/>
                <w:sz w:val="21"/>
                <w:szCs w:val="22"/>
                <w:highlight w:val="yellow"/>
              </w:rPr>
              <w:t>支持公网透传。接入用户可配置与出口同段的公网地址。</w:t>
            </w:r>
          </w:p>
          <w:p>
            <w:pPr>
              <w:pStyle w:val="5"/>
              <w:numPr>
                <w:ilvl w:val="0"/>
                <w:numId w:val="1"/>
              </w:numPr>
              <w:ind w:firstLineChars="0"/>
              <w:rPr>
                <w:sz w:val="21"/>
                <w:szCs w:val="22"/>
                <w:highlight w:val="yellow"/>
              </w:rPr>
            </w:pPr>
            <w:r>
              <w:rPr>
                <w:rFonts w:hint="eastAsia"/>
                <w:sz w:val="21"/>
                <w:szCs w:val="22"/>
                <w:highlight w:val="yellow"/>
              </w:rPr>
              <w:t>支持静态路由。按目的</w:t>
            </w:r>
            <w:r>
              <w:rPr>
                <w:sz w:val="21"/>
                <w:szCs w:val="22"/>
                <w:highlight w:val="yellow"/>
              </w:rPr>
              <w:t>IP</w:t>
            </w:r>
            <w:r>
              <w:rPr>
                <w:rFonts w:hint="eastAsia"/>
                <w:sz w:val="21"/>
                <w:szCs w:val="22"/>
                <w:highlight w:val="yellow"/>
              </w:rPr>
              <w:t>地址寻址。支持备用路由。在默认路由失效时自动切换到备用路由。支持策略路由。按域名、源</w:t>
            </w:r>
            <w:r>
              <w:rPr>
                <w:sz w:val="21"/>
                <w:szCs w:val="22"/>
                <w:highlight w:val="yellow"/>
              </w:rPr>
              <w:t>IP</w:t>
            </w:r>
            <w:r>
              <w:rPr>
                <w:rFonts w:hint="eastAsia"/>
                <w:sz w:val="21"/>
                <w:szCs w:val="22"/>
                <w:highlight w:val="yellow"/>
              </w:rPr>
              <w:t>地址或按用户服务等级寻址。</w:t>
            </w:r>
            <w:r>
              <w:rPr>
                <w:sz w:val="21"/>
                <w:szCs w:val="22"/>
                <w:highlight w:val="yellow"/>
              </w:rPr>
              <w:br w:type="textWrapping"/>
            </w:r>
            <w:r>
              <w:rPr>
                <w:rFonts w:hint="eastAsia"/>
                <w:sz w:val="21"/>
                <w:szCs w:val="22"/>
                <w:highlight w:val="yellow"/>
              </w:rPr>
              <w:t>支持</w:t>
            </w:r>
            <w:r>
              <w:rPr>
                <w:sz w:val="21"/>
                <w:szCs w:val="22"/>
                <w:highlight w:val="yellow"/>
              </w:rPr>
              <w:t>IP</w:t>
            </w:r>
            <w:r>
              <w:rPr>
                <w:rFonts w:hint="eastAsia"/>
                <w:sz w:val="21"/>
                <w:szCs w:val="22"/>
                <w:highlight w:val="yellow"/>
              </w:rPr>
              <w:t>、</w:t>
            </w:r>
            <w:r>
              <w:rPr>
                <w:sz w:val="21"/>
                <w:szCs w:val="22"/>
                <w:highlight w:val="yellow"/>
              </w:rPr>
              <w:t>MAC</w:t>
            </w:r>
            <w:r>
              <w:rPr>
                <w:rFonts w:hint="eastAsia"/>
                <w:sz w:val="21"/>
                <w:szCs w:val="22"/>
                <w:highlight w:val="yellow"/>
              </w:rPr>
              <w:t>、域名的过滤规则。</w:t>
            </w:r>
          </w:p>
          <w:p>
            <w:pPr>
              <w:pStyle w:val="5"/>
              <w:numPr>
                <w:ilvl w:val="0"/>
                <w:numId w:val="1"/>
              </w:numPr>
              <w:ind w:firstLineChars="0"/>
              <w:rPr>
                <w:sz w:val="21"/>
                <w:szCs w:val="22"/>
                <w:highlight w:val="yellow"/>
              </w:rPr>
            </w:pPr>
            <w:r>
              <w:rPr>
                <w:rFonts w:hint="eastAsia"/>
                <w:sz w:val="21"/>
                <w:szCs w:val="22"/>
                <w:highlight w:val="yellow"/>
              </w:rPr>
              <w:t>支持</w:t>
            </w:r>
            <w:r>
              <w:rPr>
                <w:sz w:val="21"/>
                <w:szCs w:val="22"/>
                <w:highlight w:val="yellow"/>
              </w:rPr>
              <w:t>QoS</w:t>
            </w:r>
            <w:r>
              <w:rPr>
                <w:rFonts w:hint="eastAsia"/>
                <w:sz w:val="21"/>
                <w:szCs w:val="22"/>
                <w:highlight w:val="yellow"/>
              </w:rPr>
              <w:t>高级带宽管理。可按应用类型、服务等级、</w:t>
            </w:r>
            <w:r>
              <w:rPr>
                <w:sz w:val="21"/>
                <w:szCs w:val="22"/>
                <w:highlight w:val="yellow"/>
              </w:rPr>
              <w:t>IP</w:t>
            </w:r>
            <w:r>
              <w:rPr>
                <w:rFonts w:hint="eastAsia"/>
                <w:sz w:val="21"/>
                <w:szCs w:val="22"/>
                <w:highlight w:val="yellow"/>
              </w:rPr>
              <w:t>或域名设置保证带宽和带宽优先。支持</w:t>
            </w:r>
            <w:r>
              <w:rPr>
                <w:sz w:val="21"/>
                <w:szCs w:val="22"/>
                <w:highlight w:val="yellow"/>
              </w:rPr>
              <w:t>QoS+</w:t>
            </w:r>
            <w:r>
              <w:rPr>
                <w:rFonts w:hint="eastAsia"/>
                <w:sz w:val="21"/>
                <w:szCs w:val="22"/>
                <w:highlight w:val="yellow"/>
              </w:rPr>
              <w:t>应用，动态分配剩余空闲带宽给突发流量用户功能。</w:t>
            </w:r>
          </w:p>
          <w:p>
            <w:pPr>
              <w:pStyle w:val="5"/>
              <w:numPr>
                <w:ilvl w:val="0"/>
                <w:numId w:val="1"/>
              </w:numPr>
              <w:ind w:firstLineChars="0"/>
              <w:rPr>
                <w:sz w:val="21"/>
                <w:szCs w:val="22"/>
                <w:highlight w:val="yellow"/>
              </w:rPr>
            </w:pPr>
            <w:r>
              <w:rPr>
                <w:rFonts w:hint="eastAsia"/>
                <w:sz w:val="21"/>
                <w:szCs w:val="22"/>
                <w:highlight w:val="yellow"/>
              </w:rPr>
              <w:t>支持用户名密码认证、免</w:t>
            </w:r>
            <w:r>
              <w:rPr>
                <w:sz w:val="21"/>
                <w:szCs w:val="22"/>
                <w:highlight w:val="yellow"/>
              </w:rPr>
              <w:t>Portal</w:t>
            </w:r>
            <w:r>
              <w:rPr>
                <w:rFonts w:hint="eastAsia"/>
                <w:sz w:val="21"/>
                <w:szCs w:val="22"/>
                <w:highlight w:val="yellow"/>
              </w:rPr>
              <w:t>认证、</w:t>
            </w:r>
            <w:r>
              <w:rPr>
                <w:sz w:val="21"/>
                <w:szCs w:val="22"/>
                <w:highlight w:val="yellow"/>
              </w:rPr>
              <w:t>Cookie</w:t>
            </w:r>
            <w:r>
              <w:rPr>
                <w:rFonts w:hint="eastAsia"/>
                <w:sz w:val="21"/>
                <w:szCs w:val="22"/>
                <w:highlight w:val="yellow"/>
              </w:rPr>
              <w:t>认证、房号</w:t>
            </w:r>
            <w:r>
              <w:rPr>
                <w:sz w:val="21"/>
                <w:szCs w:val="22"/>
                <w:highlight w:val="yellow"/>
              </w:rPr>
              <w:t>+</w:t>
            </w:r>
            <w:r>
              <w:rPr>
                <w:rFonts w:hint="eastAsia"/>
                <w:sz w:val="21"/>
                <w:szCs w:val="22"/>
                <w:highlight w:val="yellow"/>
              </w:rPr>
              <w:t>姓氏认证、手机号短信认证、微信小程序等方式方便客人认证接入，以及确保审计设备可读取此类信息。</w:t>
            </w:r>
          </w:p>
          <w:p>
            <w:pPr>
              <w:pStyle w:val="5"/>
              <w:numPr>
                <w:ilvl w:val="0"/>
                <w:numId w:val="1"/>
              </w:numPr>
              <w:ind w:firstLineChars="0"/>
              <w:rPr>
                <w:highlight w:val="yellow"/>
              </w:rPr>
            </w:pPr>
            <w:r>
              <w:rPr>
                <w:rFonts w:hint="eastAsia"/>
                <w:sz w:val="21"/>
                <w:szCs w:val="22"/>
                <w:highlight w:val="yellow"/>
              </w:rPr>
              <w:t>支持对酒店主干网络及系统设备，提供</w:t>
            </w:r>
            <w:r>
              <w:rPr>
                <w:sz w:val="21"/>
                <w:szCs w:val="22"/>
                <w:highlight w:val="yellow"/>
              </w:rPr>
              <w:t>7</w:t>
            </w:r>
            <w:r>
              <w:rPr>
                <w:rFonts w:hint="eastAsia"/>
                <w:sz w:val="21"/>
                <w:szCs w:val="22"/>
                <w:highlight w:val="yellow"/>
              </w:rPr>
              <w:t>×</w:t>
            </w:r>
            <w:r>
              <w:rPr>
                <w:sz w:val="21"/>
                <w:szCs w:val="22"/>
                <w:highlight w:val="yellow"/>
              </w:rPr>
              <w:t>24</w:t>
            </w:r>
            <w:r>
              <w:rPr>
                <w:rFonts w:hint="eastAsia"/>
                <w:sz w:val="21"/>
                <w:szCs w:val="22"/>
                <w:highlight w:val="yellow"/>
              </w:rPr>
              <w:t>的监控服务，提供监控与运行管理，实时监测异常情况发生，当有网络异常时，通过服务电话、微信和邮件方式告警，迅速解决问题。</w:t>
            </w:r>
          </w:p>
          <w:p>
            <w:pPr>
              <w:pStyle w:val="5"/>
              <w:numPr>
                <w:ilvl w:val="0"/>
                <w:numId w:val="2"/>
              </w:numPr>
              <w:ind w:firstLineChars="0"/>
              <w:rPr>
                <w:highlight w:val="yellow"/>
              </w:rPr>
            </w:pPr>
            <w:r>
              <w:rPr>
                <w:rFonts w:hint="eastAsia"/>
                <w:highlight w:val="yellow"/>
              </w:rPr>
              <w:t>公安审计标准：所提供的产品和方案需要支持中国大陆区主流的安全审计系统，包括天融信，新网程，深信服等品牌厂商。</w:t>
            </w:r>
          </w:p>
          <w:p>
            <w:pPr>
              <w:pStyle w:val="5"/>
              <w:numPr>
                <w:ilvl w:val="0"/>
                <w:numId w:val="2"/>
              </w:numPr>
              <w:ind w:firstLineChars="0"/>
              <w:rPr>
                <w:highlight w:val="yellow"/>
              </w:rPr>
            </w:pPr>
            <w:r>
              <w:rPr>
                <w:rFonts w:hint="eastAsia"/>
                <w:highlight w:val="yellow"/>
              </w:rPr>
              <w:t>需支持对接绿云PMS等主流的酒店管理系统。</w:t>
            </w:r>
          </w:p>
        </w:tc>
        <w:tc>
          <w:tcPr>
            <w:tcW w:w="709" w:type="dxa"/>
            <w:shd w:val="clear" w:color="FFFFFF" w:fill="FFFFFF"/>
            <w:tcMar>
              <w:top w:w="15" w:type="dxa"/>
              <w:left w:w="15" w:type="dxa"/>
              <w:right w:w="15" w:type="dxa"/>
            </w:tcMar>
            <w:vAlign w:val="center"/>
          </w:tcPr>
          <w:p>
            <w:pPr>
              <w:jc w:val="left"/>
            </w:pPr>
            <w:r>
              <w:rPr>
                <w:rFonts w:hint="eastAsia"/>
              </w:rPr>
              <w:t>台</w:t>
            </w:r>
          </w:p>
        </w:tc>
        <w:tc>
          <w:tcPr>
            <w:tcW w:w="709" w:type="dxa"/>
            <w:shd w:val="clear" w:color="FFFFFF" w:fill="FFFFFF"/>
            <w:tcMar>
              <w:top w:w="15" w:type="dxa"/>
              <w:left w:w="15" w:type="dxa"/>
              <w:right w:w="15" w:type="dxa"/>
            </w:tcMar>
            <w:vAlign w:val="center"/>
          </w:tcPr>
          <w:p>
            <w:pPr>
              <w:jc w:val="left"/>
            </w:pPr>
            <w:r>
              <w:rPr>
                <w:rFonts w:hint="eastAsia"/>
              </w:rPr>
              <w:t>1</w:t>
            </w:r>
          </w:p>
        </w:tc>
        <w:tc>
          <w:tcPr>
            <w:tcW w:w="992" w:type="dxa"/>
            <w:shd w:val="clear" w:color="FFFFFF" w:fill="FFFFFF"/>
            <w:tcMar>
              <w:top w:w="15" w:type="dxa"/>
              <w:left w:w="15" w:type="dxa"/>
              <w:right w:w="15" w:type="dxa"/>
            </w:tcMar>
            <w:vAlign w:val="center"/>
          </w:tcPr>
          <w:p>
            <w:pPr>
              <w:jc w:val="left"/>
            </w:pPr>
          </w:p>
        </w:tc>
        <w:tc>
          <w:tcPr>
            <w:tcW w:w="1617" w:type="dxa"/>
            <w:shd w:val="clear" w:color="FFFFFF" w:fill="FFFFFF"/>
            <w:tcMar>
              <w:top w:w="15" w:type="dxa"/>
              <w:left w:w="15" w:type="dxa"/>
              <w:right w:w="15" w:type="dxa"/>
            </w:tcMar>
            <w:vAlign w:val="center"/>
          </w:tcPr>
          <w:p>
            <w:pPr>
              <w:jc w:val="left"/>
            </w:pPr>
          </w:p>
        </w:tc>
        <w:tc>
          <w:tcPr>
            <w:tcW w:w="659" w:type="dxa"/>
            <w:vMerge w:val="restart"/>
            <w:shd w:val="clear" w:color="FFFFFF" w:fill="FFFFFF"/>
            <w:tcMar>
              <w:top w:w="15" w:type="dxa"/>
              <w:left w:w="15" w:type="dxa"/>
              <w:right w:w="15" w:type="dxa"/>
            </w:tcMar>
            <w:vAlign w:val="center"/>
          </w:tcPr>
          <w:p>
            <w:pPr>
              <w:jc w:val="left"/>
              <w:rPr>
                <w:rFonts w:ascii="楷体_GB2312" w:hAnsi="楷体_GB2312" w:eastAsia="楷体_GB2312" w:cs="楷体_GB2312"/>
                <w:color w:val="000000"/>
                <w:sz w:val="24"/>
                <w:szCs w:val="24"/>
                <w:lang w:bidi="ar"/>
              </w:rPr>
            </w:pPr>
            <w:r>
              <w:rPr>
                <w:rFonts w:hint="eastAsia"/>
              </w:rPr>
              <w:t>锐捷品牌/HUAWEI/H3C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rPr>
          <w:trHeight w:val="1422" w:hRule="atLeast"/>
          <w:jc w:val="center"/>
        </w:trPr>
        <w:tc>
          <w:tcPr>
            <w:tcW w:w="349" w:type="dxa"/>
            <w:shd w:val="clear" w:color="FFFFFF" w:fill="FFFFFF"/>
            <w:tcMar>
              <w:top w:w="15" w:type="dxa"/>
              <w:left w:w="15" w:type="dxa"/>
              <w:right w:w="15" w:type="dxa"/>
            </w:tcMar>
            <w:vAlign w:val="center"/>
          </w:tcPr>
          <w:p>
            <w:pPr>
              <w:jc w:val="left"/>
            </w:pPr>
            <w:r>
              <w:rPr>
                <w:rFonts w:hint="eastAsia"/>
              </w:rPr>
              <w:t>2</w:t>
            </w:r>
          </w:p>
        </w:tc>
        <w:tc>
          <w:tcPr>
            <w:tcW w:w="975" w:type="dxa"/>
            <w:shd w:val="clear" w:color="FFFFFF" w:fill="FFFFFF"/>
            <w:tcMar>
              <w:top w:w="15" w:type="dxa"/>
              <w:left w:w="15" w:type="dxa"/>
              <w:right w:w="15" w:type="dxa"/>
            </w:tcMar>
            <w:vAlign w:val="center"/>
          </w:tcPr>
          <w:p>
            <w:pPr>
              <w:jc w:val="left"/>
            </w:pPr>
            <w:r>
              <w:rPr>
                <w:rFonts w:hint="eastAsia"/>
              </w:rPr>
              <w:t>网络无线控制器</w:t>
            </w:r>
          </w:p>
        </w:tc>
        <w:tc>
          <w:tcPr>
            <w:tcW w:w="4908" w:type="dxa"/>
            <w:shd w:val="clear" w:color="FFFFFF" w:fill="FFFFFF"/>
            <w:tcMar>
              <w:top w:w="15" w:type="dxa"/>
              <w:left w:w="15" w:type="dxa"/>
              <w:right w:w="15" w:type="dxa"/>
            </w:tcMar>
            <w:vAlign w:val="center"/>
          </w:tcPr>
          <w:p>
            <w:r>
              <w:rPr>
                <w:rFonts w:hint="eastAsia"/>
              </w:rPr>
              <w:t>1*WAN/4*LAN,最高支持2WAN，带机量200，适用带宽500M，VLAN接口数：16（VLAN接口可配置IP数：1），DHCP分配上限：1000，IPSec VPN：4，AP管理：路由模式64，AC模式300（R1327版本支持）</w:t>
            </w:r>
          </w:p>
        </w:tc>
        <w:tc>
          <w:tcPr>
            <w:tcW w:w="709" w:type="dxa"/>
            <w:shd w:val="clear" w:color="FFFFFF" w:fill="FFFFFF"/>
            <w:tcMar>
              <w:top w:w="15" w:type="dxa"/>
              <w:left w:w="15" w:type="dxa"/>
              <w:right w:w="15" w:type="dxa"/>
            </w:tcMar>
            <w:vAlign w:val="center"/>
          </w:tcPr>
          <w:p>
            <w:pPr>
              <w:jc w:val="left"/>
            </w:pPr>
            <w:r>
              <w:rPr>
                <w:rFonts w:hint="eastAsia"/>
              </w:rPr>
              <w:t>台</w:t>
            </w:r>
          </w:p>
        </w:tc>
        <w:tc>
          <w:tcPr>
            <w:tcW w:w="709" w:type="dxa"/>
            <w:shd w:val="clear" w:color="FFFFFF" w:fill="FFFFFF"/>
            <w:tcMar>
              <w:top w:w="15" w:type="dxa"/>
              <w:left w:w="15" w:type="dxa"/>
              <w:right w:w="15" w:type="dxa"/>
            </w:tcMar>
            <w:vAlign w:val="center"/>
          </w:tcPr>
          <w:p>
            <w:pPr>
              <w:jc w:val="left"/>
            </w:pPr>
            <w:r>
              <w:rPr>
                <w:rFonts w:hint="eastAsia"/>
              </w:rPr>
              <w:t>1</w:t>
            </w:r>
          </w:p>
        </w:tc>
        <w:tc>
          <w:tcPr>
            <w:tcW w:w="992" w:type="dxa"/>
            <w:shd w:val="clear" w:color="FFFFFF" w:fill="FFFFFF"/>
            <w:tcMar>
              <w:top w:w="15" w:type="dxa"/>
              <w:left w:w="15" w:type="dxa"/>
              <w:right w:w="15" w:type="dxa"/>
            </w:tcMar>
            <w:vAlign w:val="center"/>
          </w:tcPr>
          <w:p>
            <w:pPr>
              <w:jc w:val="left"/>
            </w:pPr>
          </w:p>
        </w:tc>
        <w:tc>
          <w:tcPr>
            <w:tcW w:w="1617" w:type="dxa"/>
            <w:shd w:val="clear" w:color="FFFFFF" w:fill="FFFFFF"/>
            <w:tcMar>
              <w:top w:w="15" w:type="dxa"/>
              <w:left w:w="15" w:type="dxa"/>
              <w:right w:w="15" w:type="dxa"/>
            </w:tcMar>
            <w:vAlign w:val="center"/>
          </w:tcPr>
          <w:p>
            <w:pPr>
              <w:jc w:val="left"/>
            </w:pPr>
          </w:p>
        </w:tc>
        <w:tc>
          <w:tcPr>
            <w:tcW w:w="659" w:type="dxa"/>
            <w:vMerge w:val="continue"/>
            <w:shd w:val="clear" w:color="FFFFFF" w:fill="FFFFFF"/>
            <w:tcMar>
              <w:top w:w="15" w:type="dxa"/>
              <w:left w:w="15" w:type="dxa"/>
              <w:right w:w="15" w:type="dxa"/>
            </w:tcMar>
            <w:vAlign w:val="center"/>
          </w:tcPr>
          <w:p>
            <w:pPr>
              <w:jc w:val="left"/>
              <w:rPr>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rPr>
          <w:trHeight w:val="1422" w:hRule="atLeast"/>
          <w:jc w:val="center"/>
        </w:trPr>
        <w:tc>
          <w:tcPr>
            <w:tcW w:w="349" w:type="dxa"/>
            <w:shd w:val="clear" w:color="FFFFFF" w:fill="FFFFFF"/>
            <w:tcMar>
              <w:top w:w="15" w:type="dxa"/>
              <w:left w:w="15" w:type="dxa"/>
              <w:right w:w="15" w:type="dxa"/>
            </w:tcMar>
            <w:vAlign w:val="center"/>
          </w:tcPr>
          <w:p>
            <w:pPr>
              <w:jc w:val="left"/>
            </w:pPr>
            <w:r>
              <w:rPr>
                <w:rFonts w:hint="eastAsia"/>
              </w:rPr>
              <w:t>3</w:t>
            </w:r>
          </w:p>
        </w:tc>
        <w:tc>
          <w:tcPr>
            <w:tcW w:w="975" w:type="dxa"/>
            <w:shd w:val="clear" w:color="FFFFFF" w:fill="FFFFFF"/>
            <w:tcMar>
              <w:top w:w="15" w:type="dxa"/>
              <w:left w:w="15" w:type="dxa"/>
              <w:right w:w="15" w:type="dxa"/>
            </w:tcMar>
            <w:vAlign w:val="center"/>
          </w:tcPr>
          <w:p>
            <w:pPr>
              <w:jc w:val="left"/>
            </w:pPr>
            <w:r>
              <w:rPr>
                <w:rFonts w:hint="eastAsia"/>
              </w:rPr>
              <w:t>交换机</w:t>
            </w:r>
          </w:p>
        </w:tc>
        <w:tc>
          <w:tcPr>
            <w:tcW w:w="4908" w:type="dxa"/>
            <w:shd w:val="clear" w:color="FFFFFF" w:fill="FFFFFF"/>
            <w:tcMar>
              <w:top w:w="15" w:type="dxa"/>
              <w:left w:w="15" w:type="dxa"/>
              <w:right w:w="15" w:type="dxa"/>
            </w:tcMar>
            <w:vAlign w:val="center"/>
          </w:tcPr>
          <w:p>
            <w:r>
              <w:rPr>
                <w:rFonts w:hint="eastAsia"/>
              </w:rPr>
              <w:t>POE方式；</w:t>
            </w:r>
          </w:p>
          <w:p>
            <w:r>
              <w:rPr>
                <w:rFonts w:hint="eastAsia"/>
              </w:rPr>
              <w:t>L2以太网交换机主机,支持24个10/100/1000BASE-T PoE+电口,支持4个1000BASE-X SFP端口,支持AC</w:t>
            </w:r>
          </w:p>
          <w:p>
            <w:r>
              <w:rPr>
                <w:rFonts w:hint="eastAsia"/>
                <w:highlight w:val="yellow"/>
              </w:rPr>
              <w:t>（需要包含配套数量的光模块）</w:t>
            </w:r>
          </w:p>
        </w:tc>
        <w:tc>
          <w:tcPr>
            <w:tcW w:w="709" w:type="dxa"/>
            <w:shd w:val="clear" w:color="FFFFFF" w:fill="FFFFFF"/>
            <w:tcMar>
              <w:top w:w="15" w:type="dxa"/>
              <w:left w:w="15" w:type="dxa"/>
              <w:right w:w="15" w:type="dxa"/>
            </w:tcMar>
            <w:vAlign w:val="center"/>
          </w:tcPr>
          <w:p>
            <w:pPr>
              <w:jc w:val="left"/>
            </w:pPr>
            <w:r>
              <w:rPr>
                <w:rFonts w:hint="eastAsia"/>
              </w:rPr>
              <w:t>台</w:t>
            </w:r>
          </w:p>
        </w:tc>
        <w:tc>
          <w:tcPr>
            <w:tcW w:w="709" w:type="dxa"/>
            <w:shd w:val="clear" w:color="FFFFFF" w:fill="FFFFFF"/>
            <w:tcMar>
              <w:top w:w="15" w:type="dxa"/>
              <w:left w:w="15" w:type="dxa"/>
              <w:right w:w="15" w:type="dxa"/>
            </w:tcMar>
            <w:vAlign w:val="center"/>
          </w:tcPr>
          <w:p>
            <w:pPr>
              <w:jc w:val="left"/>
            </w:pPr>
            <w:r>
              <w:rPr>
                <w:rFonts w:hint="eastAsia"/>
              </w:rPr>
              <w:t>22</w:t>
            </w:r>
          </w:p>
        </w:tc>
        <w:tc>
          <w:tcPr>
            <w:tcW w:w="992" w:type="dxa"/>
            <w:shd w:val="clear" w:color="FFFFFF" w:fill="FFFFFF"/>
            <w:tcMar>
              <w:top w:w="15" w:type="dxa"/>
              <w:left w:w="15" w:type="dxa"/>
              <w:right w:w="15" w:type="dxa"/>
            </w:tcMar>
            <w:vAlign w:val="center"/>
          </w:tcPr>
          <w:p>
            <w:pPr>
              <w:jc w:val="left"/>
            </w:pPr>
          </w:p>
        </w:tc>
        <w:tc>
          <w:tcPr>
            <w:tcW w:w="1617" w:type="dxa"/>
            <w:shd w:val="clear" w:color="FFFFFF" w:fill="FFFFFF"/>
            <w:tcMar>
              <w:top w:w="15" w:type="dxa"/>
              <w:left w:w="15" w:type="dxa"/>
              <w:right w:w="15" w:type="dxa"/>
            </w:tcMar>
            <w:vAlign w:val="center"/>
          </w:tcPr>
          <w:p>
            <w:pPr>
              <w:jc w:val="left"/>
            </w:pPr>
          </w:p>
        </w:tc>
        <w:tc>
          <w:tcPr>
            <w:tcW w:w="659" w:type="dxa"/>
            <w:vMerge w:val="continue"/>
            <w:shd w:val="clear" w:color="FFFFFF" w:fill="FFFFFF"/>
            <w:tcMar>
              <w:top w:w="15" w:type="dxa"/>
              <w:left w:w="15" w:type="dxa"/>
              <w:right w:w="15" w:type="dxa"/>
            </w:tcMar>
            <w:vAlign w:val="center"/>
          </w:tcPr>
          <w:p>
            <w:pPr>
              <w:jc w:val="left"/>
              <w:rPr>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rPr>
          <w:trHeight w:val="1422" w:hRule="atLeast"/>
          <w:jc w:val="center"/>
        </w:trPr>
        <w:tc>
          <w:tcPr>
            <w:tcW w:w="349" w:type="dxa"/>
            <w:shd w:val="clear" w:color="FFFFFF" w:fill="FFFFFF"/>
            <w:tcMar>
              <w:top w:w="15" w:type="dxa"/>
              <w:left w:w="15" w:type="dxa"/>
              <w:right w:w="15" w:type="dxa"/>
            </w:tcMar>
            <w:vAlign w:val="center"/>
          </w:tcPr>
          <w:p>
            <w:pPr>
              <w:jc w:val="left"/>
              <w:rPr>
                <w:highlight w:val="yellow"/>
              </w:rPr>
            </w:pPr>
            <w:r>
              <w:rPr>
                <w:highlight w:val="yellow"/>
              </w:rPr>
              <w:t>4</w:t>
            </w:r>
          </w:p>
        </w:tc>
        <w:tc>
          <w:tcPr>
            <w:tcW w:w="975" w:type="dxa"/>
            <w:shd w:val="clear" w:color="FFFFFF" w:fill="FFFFFF"/>
            <w:tcMar>
              <w:top w:w="15" w:type="dxa"/>
              <w:left w:w="15" w:type="dxa"/>
              <w:right w:w="15" w:type="dxa"/>
            </w:tcMar>
            <w:vAlign w:val="center"/>
          </w:tcPr>
          <w:p>
            <w:pPr>
              <w:jc w:val="left"/>
              <w:rPr>
                <w:highlight w:val="yellow"/>
              </w:rPr>
            </w:pPr>
            <w:r>
              <w:rPr>
                <w:rFonts w:hint="eastAsia"/>
                <w:highlight w:val="yellow"/>
              </w:rPr>
              <w:t>路由器</w:t>
            </w:r>
          </w:p>
        </w:tc>
        <w:tc>
          <w:tcPr>
            <w:tcW w:w="4908" w:type="dxa"/>
            <w:shd w:val="clear" w:color="FFFFFF" w:fill="FFFFFF"/>
            <w:tcMar>
              <w:top w:w="15" w:type="dxa"/>
              <w:left w:w="15" w:type="dxa"/>
              <w:right w:w="15" w:type="dxa"/>
            </w:tcMar>
            <w:vAlign w:val="center"/>
          </w:tcPr>
          <w:p>
            <w:pPr>
              <w:rPr>
                <w:highlight w:val="yellow"/>
              </w:rPr>
            </w:pPr>
            <w:r>
              <w:rPr>
                <w:highlight w:val="yellow"/>
              </w:rPr>
              <w:t>ARM</w:t>
            </w:r>
            <w:r>
              <w:rPr>
                <w:rFonts w:hint="eastAsia"/>
                <w:highlight w:val="yellow"/>
              </w:rPr>
              <w:t>四核处理器；</w:t>
            </w:r>
            <w:r>
              <w:rPr>
                <w:highlight w:val="yellow"/>
              </w:rPr>
              <w:t>NAT</w:t>
            </w:r>
            <w:r>
              <w:rPr>
                <w:rFonts w:hint="eastAsia"/>
                <w:highlight w:val="yellow"/>
              </w:rPr>
              <w:t>会话数：</w:t>
            </w:r>
            <w:r>
              <w:rPr>
                <w:highlight w:val="yellow"/>
              </w:rPr>
              <w:t>24</w:t>
            </w:r>
            <w:r>
              <w:rPr>
                <w:rFonts w:hint="eastAsia"/>
                <w:highlight w:val="yellow"/>
              </w:rPr>
              <w:t>万条；带机量：</w:t>
            </w:r>
            <w:r>
              <w:rPr>
                <w:highlight w:val="yellow"/>
              </w:rPr>
              <w:t>650</w:t>
            </w:r>
            <w:r>
              <w:rPr>
                <w:rFonts w:hint="eastAsia"/>
                <w:highlight w:val="yellow"/>
              </w:rPr>
              <w:t>；默认四</w:t>
            </w:r>
            <w:r>
              <w:rPr>
                <w:highlight w:val="yellow"/>
              </w:rPr>
              <w:t>WAN</w:t>
            </w:r>
            <w:r>
              <w:rPr>
                <w:rFonts w:hint="eastAsia"/>
                <w:highlight w:val="yellow"/>
              </w:rPr>
              <w:t>，包含两个</w:t>
            </w:r>
            <w:r>
              <w:rPr>
                <w:highlight w:val="yellow"/>
              </w:rPr>
              <w:t>10GE WAN</w:t>
            </w:r>
            <w:r>
              <w:rPr>
                <w:rFonts w:hint="eastAsia"/>
                <w:highlight w:val="yellow"/>
              </w:rPr>
              <w:t>口，部分</w:t>
            </w:r>
            <w:r>
              <w:rPr>
                <w:highlight w:val="yellow"/>
              </w:rPr>
              <w:t>LAN</w:t>
            </w:r>
            <w:r>
              <w:rPr>
                <w:rFonts w:hint="eastAsia"/>
                <w:highlight w:val="yellow"/>
              </w:rPr>
              <w:t>口可以切换为</w:t>
            </w:r>
            <w:r>
              <w:rPr>
                <w:highlight w:val="yellow"/>
              </w:rPr>
              <w:t>WAN</w:t>
            </w:r>
            <w:r>
              <w:rPr>
                <w:rFonts w:hint="eastAsia"/>
                <w:highlight w:val="yellow"/>
              </w:rPr>
              <w:t>口，最多可支持</w:t>
            </w:r>
            <w:r>
              <w:rPr>
                <w:highlight w:val="yellow"/>
              </w:rPr>
              <w:t>2*10 GE+6*GE WAN</w:t>
            </w:r>
            <w:r>
              <w:rPr>
                <w:rFonts w:hint="eastAsia"/>
                <w:highlight w:val="yellow"/>
              </w:rPr>
              <w:t>并发接入；支持内置</w:t>
            </w:r>
            <w:r>
              <w:rPr>
                <w:highlight w:val="yellow"/>
              </w:rPr>
              <w:t>AC</w:t>
            </w:r>
            <w:r>
              <w:rPr>
                <w:rFonts w:hint="eastAsia"/>
                <w:highlight w:val="yellow"/>
              </w:rPr>
              <w:t>功能；支持</w:t>
            </w:r>
            <w:r>
              <w:rPr>
                <w:highlight w:val="yellow"/>
              </w:rPr>
              <w:t>IPSec VPN</w:t>
            </w:r>
            <w:r>
              <w:rPr>
                <w:rFonts w:hint="eastAsia"/>
                <w:highlight w:val="yellow"/>
              </w:rPr>
              <w:t>，支持多种加密算法，方便企业通过</w:t>
            </w:r>
            <w:r>
              <w:rPr>
                <w:highlight w:val="yellow"/>
              </w:rPr>
              <w:t>Internet</w:t>
            </w:r>
            <w:r>
              <w:rPr>
                <w:rFonts w:hint="eastAsia"/>
                <w:highlight w:val="yellow"/>
              </w:rPr>
              <w:t>构建虚拟私有网络</w:t>
            </w:r>
          </w:p>
          <w:p>
            <w:pPr>
              <w:rPr>
                <w:highlight w:val="yellow"/>
              </w:rPr>
            </w:pPr>
            <w:r>
              <w:rPr>
                <w:rFonts w:hint="eastAsia"/>
                <w:highlight w:val="yellow"/>
              </w:rPr>
              <w:t>（不需要，可删掉）</w:t>
            </w:r>
          </w:p>
        </w:tc>
        <w:tc>
          <w:tcPr>
            <w:tcW w:w="709" w:type="dxa"/>
            <w:shd w:val="clear" w:color="FFFFFF" w:fill="FFFFFF"/>
            <w:tcMar>
              <w:top w:w="15" w:type="dxa"/>
              <w:left w:w="15" w:type="dxa"/>
              <w:right w:w="15" w:type="dxa"/>
            </w:tcMar>
            <w:vAlign w:val="center"/>
          </w:tcPr>
          <w:p>
            <w:pPr>
              <w:jc w:val="left"/>
              <w:rPr>
                <w:highlight w:val="yellow"/>
              </w:rPr>
            </w:pPr>
            <w:r>
              <w:rPr>
                <w:rFonts w:hint="eastAsia"/>
                <w:highlight w:val="yellow"/>
              </w:rPr>
              <w:t>台</w:t>
            </w:r>
          </w:p>
        </w:tc>
        <w:tc>
          <w:tcPr>
            <w:tcW w:w="709" w:type="dxa"/>
            <w:shd w:val="clear" w:color="FFFFFF" w:fill="FFFFFF"/>
            <w:tcMar>
              <w:top w:w="15" w:type="dxa"/>
              <w:left w:w="15" w:type="dxa"/>
              <w:right w:w="15" w:type="dxa"/>
            </w:tcMar>
            <w:vAlign w:val="center"/>
          </w:tcPr>
          <w:p>
            <w:pPr>
              <w:jc w:val="left"/>
              <w:rPr>
                <w:highlight w:val="yellow"/>
              </w:rPr>
            </w:pPr>
            <w:r>
              <w:rPr>
                <w:highlight w:val="yellow"/>
              </w:rPr>
              <w:t>1</w:t>
            </w:r>
          </w:p>
        </w:tc>
        <w:tc>
          <w:tcPr>
            <w:tcW w:w="992" w:type="dxa"/>
            <w:shd w:val="clear" w:color="FFFFFF" w:fill="FFFFFF"/>
            <w:tcMar>
              <w:top w:w="15" w:type="dxa"/>
              <w:left w:w="15" w:type="dxa"/>
              <w:right w:w="15" w:type="dxa"/>
            </w:tcMar>
            <w:vAlign w:val="center"/>
          </w:tcPr>
          <w:p>
            <w:pPr>
              <w:jc w:val="left"/>
              <w:rPr>
                <w:highlight w:val="yellow"/>
              </w:rPr>
            </w:pPr>
          </w:p>
        </w:tc>
        <w:tc>
          <w:tcPr>
            <w:tcW w:w="1617" w:type="dxa"/>
            <w:shd w:val="clear" w:color="FFFFFF" w:fill="FFFFFF"/>
            <w:tcMar>
              <w:top w:w="15" w:type="dxa"/>
              <w:left w:w="15" w:type="dxa"/>
              <w:right w:w="15" w:type="dxa"/>
            </w:tcMar>
            <w:vAlign w:val="center"/>
          </w:tcPr>
          <w:p>
            <w:pPr>
              <w:jc w:val="left"/>
              <w:rPr>
                <w:highlight w:val="yellow"/>
              </w:rPr>
            </w:pPr>
          </w:p>
        </w:tc>
        <w:tc>
          <w:tcPr>
            <w:tcW w:w="659" w:type="dxa"/>
            <w:vMerge w:val="continue"/>
            <w:shd w:val="clear" w:color="FFFFFF" w:fill="FFFFFF"/>
            <w:tcMar>
              <w:top w:w="15" w:type="dxa"/>
              <w:left w:w="15" w:type="dxa"/>
              <w:right w:w="15" w:type="dxa"/>
            </w:tcMar>
            <w:vAlign w:val="center"/>
          </w:tcPr>
          <w:p>
            <w:pPr>
              <w:jc w:val="left"/>
              <w:rPr>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rPr>
          <w:trHeight w:val="90" w:hRule="atLeast"/>
          <w:jc w:val="center"/>
        </w:trPr>
        <w:tc>
          <w:tcPr>
            <w:tcW w:w="349" w:type="dxa"/>
            <w:shd w:val="clear" w:color="FFFFFF" w:fill="FFFFFF"/>
            <w:tcMar>
              <w:top w:w="15" w:type="dxa"/>
              <w:left w:w="15" w:type="dxa"/>
              <w:right w:w="15" w:type="dxa"/>
            </w:tcMar>
            <w:vAlign w:val="center"/>
          </w:tcPr>
          <w:p>
            <w:pPr>
              <w:jc w:val="left"/>
            </w:pPr>
            <w:r>
              <w:rPr>
                <w:rFonts w:hint="eastAsia"/>
              </w:rPr>
              <w:t>5</w:t>
            </w:r>
          </w:p>
        </w:tc>
        <w:tc>
          <w:tcPr>
            <w:tcW w:w="975" w:type="dxa"/>
            <w:shd w:val="clear" w:color="FFFFFF" w:fill="FFFFFF"/>
            <w:tcMar>
              <w:top w:w="15" w:type="dxa"/>
              <w:left w:w="15" w:type="dxa"/>
              <w:right w:w="15" w:type="dxa"/>
            </w:tcMar>
            <w:vAlign w:val="center"/>
          </w:tcPr>
          <w:p>
            <w:pPr>
              <w:jc w:val="left"/>
            </w:pPr>
            <w:r>
              <w:rPr>
                <w:rFonts w:hint="eastAsia"/>
              </w:rPr>
              <w:t>增强型无线控制器license授权</w:t>
            </w:r>
          </w:p>
        </w:tc>
        <w:tc>
          <w:tcPr>
            <w:tcW w:w="4908" w:type="dxa"/>
            <w:shd w:val="clear" w:color="FFFFFF" w:fill="FFFFFF"/>
            <w:tcMar>
              <w:top w:w="15" w:type="dxa"/>
              <w:left w:w="15" w:type="dxa"/>
              <w:right w:w="15" w:type="dxa"/>
            </w:tcMar>
            <w:vAlign w:val="center"/>
          </w:tcPr>
          <w:p>
            <w:r>
              <w:rPr>
                <w:rFonts w:hint="eastAsia"/>
              </w:rPr>
              <w:t>包含企业专用网；</w:t>
            </w:r>
          </w:p>
        </w:tc>
        <w:tc>
          <w:tcPr>
            <w:tcW w:w="709" w:type="dxa"/>
            <w:shd w:val="clear" w:color="FFFFFF" w:fill="FFFFFF"/>
            <w:tcMar>
              <w:top w:w="15" w:type="dxa"/>
              <w:left w:w="15" w:type="dxa"/>
              <w:right w:w="15" w:type="dxa"/>
            </w:tcMar>
            <w:vAlign w:val="center"/>
          </w:tcPr>
          <w:p>
            <w:pPr>
              <w:jc w:val="left"/>
            </w:pPr>
            <w:r>
              <w:rPr>
                <w:rFonts w:hint="eastAsia"/>
              </w:rPr>
              <w:t>件</w:t>
            </w:r>
          </w:p>
        </w:tc>
        <w:tc>
          <w:tcPr>
            <w:tcW w:w="709" w:type="dxa"/>
            <w:shd w:val="clear" w:color="FFFFFF" w:fill="FFFFFF"/>
            <w:tcMar>
              <w:top w:w="15" w:type="dxa"/>
              <w:left w:w="15" w:type="dxa"/>
              <w:right w:w="15" w:type="dxa"/>
            </w:tcMar>
            <w:vAlign w:val="center"/>
          </w:tcPr>
          <w:p>
            <w:pPr>
              <w:jc w:val="left"/>
            </w:pPr>
            <w:r>
              <w:rPr>
                <w:rFonts w:hint="eastAsia"/>
              </w:rPr>
              <w:t>185</w:t>
            </w:r>
          </w:p>
        </w:tc>
        <w:tc>
          <w:tcPr>
            <w:tcW w:w="992" w:type="dxa"/>
            <w:shd w:val="clear" w:color="FFFFFF" w:fill="FFFFFF"/>
            <w:tcMar>
              <w:top w:w="15" w:type="dxa"/>
              <w:left w:w="15" w:type="dxa"/>
              <w:right w:w="15" w:type="dxa"/>
            </w:tcMar>
            <w:vAlign w:val="center"/>
          </w:tcPr>
          <w:p>
            <w:pPr>
              <w:jc w:val="left"/>
            </w:pPr>
          </w:p>
        </w:tc>
        <w:tc>
          <w:tcPr>
            <w:tcW w:w="1617" w:type="dxa"/>
            <w:shd w:val="clear" w:color="FFFFFF" w:fill="FFFFFF"/>
            <w:tcMar>
              <w:top w:w="15" w:type="dxa"/>
              <w:left w:w="15" w:type="dxa"/>
              <w:right w:w="15" w:type="dxa"/>
            </w:tcMar>
            <w:vAlign w:val="center"/>
          </w:tcPr>
          <w:p>
            <w:pPr>
              <w:jc w:val="left"/>
            </w:pPr>
          </w:p>
        </w:tc>
        <w:tc>
          <w:tcPr>
            <w:tcW w:w="659" w:type="dxa"/>
            <w:vMerge w:val="continue"/>
            <w:shd w:val="clear" w:color="FFFFFF" w:fill="FFFFFF"/>
            <w:tcMar>
              <w:top w:w="15" w:type="dxa"/>
              <w:left w:w="15" w:type="dxa"/>
              <w:right w:w="15" w:type="dxa"/>
            </w:tcMar>
            <w:vAlign w:val="center"/>
          </w:tcPr>
          <w:p>
            <w:pPr>
              <w:jc w:val="left"/>
              <w:rPr>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rPr>
          <w:trHeight w:val="717" w:hRule="atLeast"/>
          <w:jc w:val="center"/>
        </w:trPr>
        <w:tc>
          <w:tcPr>
            <w:tcW w:w="349" w:type="dxa"/>
            <w:shd w:val="clear" w:color="FFFFFF" w:fill="FFFFFF"/>
            <w:tcMar>
              <w:top w:w="15" w:type="dxa"/>
              <w:left w:w="15" w:type="dxa"/>
              <w:right w:w="15" w:type="dxa"/>
            </w:tcMar>
            <w:vAlign w:val="center"/>
          </w:tcPr>
          <w:p>
            <w:pPr>
              <w:jc w:val="left"/>
            </w:pPr>
            <w:r>
              <w:rPr>
                <w:rFonts w:hint="eastAsia"/>
              </w:rPr>
              <w:t>6</w:t>
            </w:r>
          </w:p>
        </w:tc>
        <w:tc>
          <w:tcPr>
            <w:tcW w:w="975" w:type="dxa"/>
            <w:shd w:val="clear" w:color="FFFFFF" w:fill="FFFFFF"/>
            <w:tcMar>
              <w:top w:w="15" w:type="dxa"/>
              <w:left w:w="15" w:type="dxa"/>
              <w:right w:w="15" w:type="dxa"/>
            </w:tcMar>
            <w:vAlign w:val="center"/>
          </w:tcPr>
          <w:p>
            <w:pPr>
              <w:jc w:val="left"/>
            </w:pPr>
            <w:r>
              <w:rPr>
                <w:rFonts w:hint="eastAsia"/>
              </w:rPr>
              <w:t>汇聚交换机</w:t>
            </w:r>
          </w:p>
        </w:tc>
        <w:tc>
          <w:tcPr>
            <w:tcW w:w="4908" w:type="dxa"/>
            <w:shd w:val="clear" w:color="FFFFFF" w:fill="FFFFFF"/>
            <w:tcMar>
              <w:top w:w="15" w:type="dxa"/>
              <w:left w:w="15" w:type="dxa"/>
              <w:right w:w="15" w:type="dxa"/>
            </w:tcMar>
            <w:vAlign w:val="center"/>
          </w:tcPr>
          <w:p>
            <w:r>
              <w:rPr>
                <w:rFonts w:hint="eastAsia"/>
              </w:rPr>
              <w:t>L3以</w:t>
            </w:r>
            <w:r>
              <w:rPr>
                <w:rFonts w:hint="eastAsia" w:ascii="Calibri" w:hAnsi="Calibri" w:eastAsia="宋体" w:cs="Times New Roman"/>
                <w:sz w:val="21"/>
                <w:szCs w:val="22"/>
              </w:rPr>
              <w:t>太网</w:t>
            </w:r>
            <w:r>
              <w:rPr>
                <w:rFonts w:hint="eastAsia"/>
              </w:rPr>
              <w:t>交换机主机(24GE(8SFP Combo)+4SFP Plus+1Slot),双电源</w:t>
            </w:r>
          </w:p>
        </w:tc>
        <w:tc>
          <w:tcPr>
            <w:tcW w:w="709" w:type="dxa"/>
            <w:shd w:val="clear" w:color="FFFFFF" w:fill="FFFFFF"/>
            <w:tcMar>
              <w:top w:w="15" w:type="dxa"/>
              <w:left w:w="15" w:type="dxa"/>
              <w:right w:w="15" w:type="dxa"/>
            </w:tcMar>
            <w:vAlign w:val="center"/>
          </w:tcPr>
          <w:p>
            <w:pPr>
              <w:jc w:val="left"/>
            </w:pPr>
            <w:r>
              <w:rPr>
                <w:rFonts w:hint="eastAsia"/>
              </w:rPr>
              <w:t>台</w:t>
            </w:r>
          </w:p>
        </w:tc>
        <w:tc>
          <w:tcPr>
            <w:tcW w:w="709" w:type="dxa"/>
            <w:shd w:val="clear" w:color="FFFFFF" w:fill="FFFFFF"/>
            <w:tcMar>
              <w:top w:w="15" w:type="dxa"/>
              <w:left w:w="15" w:type="dxa"/>
              <w:right w:w="15" w:type="dxa"/>
            </w:tcMar>
            <w:vAlign w:val="center"/>
          </w:tcPr>
          <w:p>
            <w:pPr>
              <w:jc w:val="left"/>
            </w:pPr>
            <w:r>
              <w:rPr>
                <w:rFonts w:hint="eastAsia"/>
              </w:rPr>
              <w:t>1</w:t>
            </w:r>
          </w:p>
        </w:tc>
        <w:tc>
          <w:tcPr>
            <w:tcW w:w="992" w:type="dxa"/>
            <w:shd w:val="clear" w:color="FFFFFF" w:fill="FFFFFF"/>
            <w:tcMar>
              <w:top w:w="15" w:type="dxa"/>
              <w:left w:w="15" w:type="dxa"/>
              <w:right w:w="15" w:type="dxa"/>
            </w:tcMar>
            <w:vAlign w:val="center"/>
          </w:tcPr>
          <w:p>
            <w:pPr>
              <w:jc w:val="left"/>
            </w:pPr>
          </w:p>
        </w:tc>
        <w:tc>
          <w:tcPr>
            <w:tcW w:w="1617" w:type="dxa"/>
            <w:shd w:val="clear" w:color="FFFFFF" w:fill="FFFFFF"/>
            <w:tcMar>
              <w:top w:w="15" w:type="dxa"/>
              <w:left w:w="15" w:type="dxa"/>
              <w:right w:w="15" w:type="dxa"/>
            </w:tcMar>
            <w:vAlign w:val="center"/>
          </w:tcPr>
          <w:p>
            <w:pPr>
              <w:jc w:val="left"/>
            </w:pPr>
          </w:p>
        </w:tc>
        <w:tc>
          <w:tcPr>
            <w:tcW w:w="659" w:type="dxa"/>
            <w:vMerge w:val="continue"/>
            <w:shd w:val="clear" w:color="FFFFFF" w:fill="FFFFFF"/>
            <w:tcMar>
              <w:top w:w="15" w:type="dxa"/>
              <w:left w:w="15" w:type="dxa"/>
              <w:right w:w="15" w:type="dxa"/>
            </w:tcMar>
            <w:vAlign w:val="center"/>
          </w:tcPr>
          <w:p>
            <w:pPr>
              <w:jc w:val="left"/>
              <w:rPr>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rPr>
          <w:trHeight w:val="1296" w:hRule="atLeast"/>
          <w:jc w:val="center"/>
        </w:trPr>
        <w:tc>
          <w:tcPr>
            <w:tcW w:w="349" w:type="dxa"/>
            <w:shd w:val="clear" w:color="FFFFFF" w:fill="FFFFFF"/>
            <w:tcMar>
              <w:top w:w="15" w:type="dxa"/>
              <w:left w:w="15" w:type="dxa"/>
              <w:right w:w="15" w:type="dxa"/>
            </w:tcMar>
            <w:vAlign w:val="center"/>
          </w:tcPr>
          <w:p>
            <w:pPr>
              <w:jc w:val="left"/>
            </w:pPr>
            <w:r>
              <w:rPr>
                <w:rFonts w:hint="eastAsia"/>
              </w:rPr>
              <w:t>7</w:t>
            </w:r>
          </w:p>
        </w:tc>
        <w:tc>
          <w:tcPr>
            <w:tcW w:w="975" w:type="dxa"/>
            <w:shd w:val="clear" w:color="FFFFFF" w:fill="FFFFFF"/>
            <w:tcMar>
              <w:top w:w="15" w:type="dxa"/>
              <w:left w:w="15" w:type="dxa"/>
              <w:right w:w="15" w:type="dxa"/>
            </w:tcMar>
            <w:vAlign w:val="center"/>
          </w:tcPr>
          <w:p>
            <w:pPr>
              <w:jc w:val="left"/>
            </w:pPr>
            <w:r>
              <w:rPr>
                <w:rFonts w:hint="eastAsia"/>
              </w:rPr>
              <w:t>面板式无线接入点</w:t>
            </w:r>
          </w:p>
        </w:tc>
        <w:tc>
          <w:tcPr>
            <w:tcW w:w="4908" w:type="dxa"/>
            <w:shd w:val="clear" w:color="FFFFFF" w:fill="FFFFFF"/>
            <w:tcMar>
              <w:top w:w="15" w:type="dxa"/>
              <w:left w:w="15" w:type="dxa"/>
              <w:right w:w="15" w:type="dxa"/>
            </w:tcMar>
            <w:vAlign w:val="center"/>
          </w:tcPr>
          <w:p>
            <w:r>
              <w:rPr>
                <w:rFonts w:hint="eastAsia"/>
              </w:rPr>
              <w:t>内置天线双频四流802.11ax/ac/n面板型无线接入点-FIT；客房160+服务间16+一层公区（全日餐厅、大堂吧、九华厅）3+二层公区（黄山、醉翁亭、镜湖、茶吧、逍遥津、皇藏峪）6</w:t>
            </w:r>
          </w:p>
        </w:tc>
        <w:tc>
          <w:tcPr>
            <w:tcW w:w="709" w:type="dxa"/>
            <w:shd w:val="clear" w:color="FFFFFF" w:fill="FFFFFF"/>
            <w:tcMar>
              <w:top w:w="15" w:type="dxa"/>
              <w:left w:w="15" w:type="dxa"/>
              <w:right w:w="15" w:type="dxa"/>
            </w:tcMar>
            <w:vAlign w:val="center"/>
          </w:tcPr>
          <w:p>
            <w:pPr>
              <w:jc w:val="left"/>
            </w:pPr>
            <w:r>
              <w:rPr>
                <w:rFonts w:hint="eastAsia"/>
              </w:rPr>
              <w:t>台</w:t>
            </w:r>
          </w:p>
        </w:tc>
        <w:tc>
          <w:tcPr>
            <w:tcW w:w="709" w:type="dxa"/>
            <w:shd w:val="clear" w:color="FFFFFF" w:fill="FFFFFF"/>
            <w:tcMar>
              <w:top w:w="15" w:type="dxa"/>
              <w:left w:w="15" w:type="dxa"/>
              <w:right w:w="15" w:type="dxa"/>
            </w:tcMar>
            <w:vAlign w:val="center"/>
          </w:tcPr>
          <w:p>
            <w:pPr>
              <w:jc w:val="left"/>
            </w:pPr>
            <w:r>
              <w:rPr>
                <w:rFonts w:hint="eastAsia"/>
              </w:rPr>
              <w:t>185</w:t>
            </w:r>
          </w:p>
        </w:tc>
        <w:tc>
          <w:tcPr>
            <w:tcW w:w="992" w:type="dxa"/>
            <w:shd w:val="clear" w:color="FFFFFF" w:fill="FFFFFF"/>
            <w:tcMar>
              <w:top w:w="15" w:type="dxa"/>
              <w:left w:w="15" w:type="dxa"/>
              <w:right w:w="15" w:type="dxa"/>
            </w:tcMar>
            <w:vAlign w:val="center"/>
          </w:tcPr>
          <w:p>
            <w:pPr>
              <w:jc w:val="left"/>
            </w:pPr>
          </w:p>
        </w:tc>
        <w:tc>
          <w:tcPr>
            <w:tcW w:w="1617" w:type="dxa"/>
            <w:shd w:val="clear" w:color="FFFFFF" w:fill="FFFFFF"/>
            <w:tcMar>
              <w:top w:w="15" w:type="dxa"/>
              <w:left w:w="15" w:type="dxa"/>
              <w:right w:w="15" w:type="dxa"/>
            </w:tcMar>
            <w:vAlign w:val="center"/>
          </w:tcPr>
          <w:p>
            <w:pPr>
              <w:jc w:val="left"/>
            </w:pPr>
          </w:p>
        </w:tc>
        <w:tc>
          <w:tcPr>
            <w:tcW w:w="659" w:type="dxa"/>
            <w:vMerge w:val="continue"/>
            <w:shd w:val="clear" w:color="FFFFFF" w:fill="FFFFFF"/>
            <w:tcMar>
              <w:top w:w="15" w:type="dxa"/>
              <w:left w:w="15" w:type="dxa"/>
              <w:right w:w="15" w:type="dxa"/>
            </w:tcMar>
            <w:vAlign w:val="center"/>
          </w:tcPr>
          <w:p>
            <w:pPr>
              <w:jc w:val="left"/>
              <w:rPr>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rPr>
          <w:trHeight w:val="1239" w:hRule="atLeast"/>
          <w:jc w:val="center"/>
        </w:trPr>
        <w:tc>
          <w:tcPr>
            <w:tcW w:w="349" w:type="dxa"/>
            <w:shd w:val="clear" w:color="FFFFFF" w:fill="FFFFFF"/>
            <w:tcMar>
              <w:top w:w="15" w:type="dxa"/>
              <w:left w:w="15" w:type="dxa"/>
              <w:right w:w="15" w:type="dxa"/>
            </w:tcMar>
            <w:vAlign w:val="center"/>
          </w:tcPr>
          <w:p>
            <w:pPr>
              <w:jc w:val="left"/>
            </w:pPr>
            <w:r>
              <w:rPr>
                <w:rFonts w:hint="eastAsia"/>
              </w:rPr>
              <w:t>8</w:t>
            </w:r>
          </w:p>
        </w:tc>
        <w:tc>
          <w:tcPr>
            <w:tcW w:w="975" w:type="dxa"/>
            <w:shd w:val="clear" w:color="FFFFFF" w:fill="FFFFFF"/>
            <w:tcMar>
              <w:top w:w="15" w:type="dxa"/>
              <w:left w:w="15" w:type="dxa"/>
              <w:right w:w="15" w:type="dxa"/>
            </w:tcMar>
            <w:vAlign w:val="center"/>
          </w:tcPr>
          <w:p>
            <w:pPr>
              <w:jc w:val="left"/>
            </w:pPr>
          </w:p>
        </w:tc>
        <w:tc>
          <w:tcPr>
            <w:tcW w:w="4908" w:type="dxa"/>
            <w:shd w:val="clear" w:color="FFFFFF" w:fill="FFFFFF"/>
            <w:tcMar>
              <w:top w:w="15" w:type="dxa"/>
              <w:left w:w="15" w:type="dxa"/>
              <w:right w:w="15" w:type="dxa"/>
            </w:tcMar>
            <w:vAlign w:val="center"/>
          </w:tcPr>
          <w:p>
            <w:pPr>
              <w:ind w:firstLine="0" w:firstLineChars="0"/>
            </w:pPr>
            <w:r>
              <w:rPr>
                <w:rFonts w:hint="eastAsia"/>
              </w:rPr>
              <w:t>合计总价</w:t>
            </w:r>
          </w:p>
        </w:tc>
        <w:tc>
          <w:tcPr>
            <w:tcW w:w="4027" w:type="dxa"/>
            <w:gridSpan w:val="4"/>
            <w:shd w:val="clear" w:color="FFFFFF" w:fill="FFFFFF"/>
            <w:tcMar>
              <w:top w:w="15" w:type="dxa"/>
              <w:left w:w="15" w:type="dxa"/>
              <w:right w:w="15" w:type="dxa"/>
            </w:tcMar>
            <w:vAlign w:val="center"/>
          </w:tcPr>
          <w:p>
            <w:pPr>
              <w:jc w:val="left"/>
            </w:pPr>
          </w:p>
        </w:tc>
        <w:tc>
          <w:tcPr>
            <w:tcW w:w="659" w:type="dxa"/>
            <w:shd w:val="clear" w:color="FFFFFF" w:fill="FFFFFF"/>
            <w:tcMar>
              <w:top w:w="15" w:type="dxa"/>
              <w:left w:w="15" w:type="dxa"/>
              <w:right w:w="15" w:type="dxa"/>
            </w:tcMar>
            <w:vAlign w:val="center"/>
          </w:tcPr>
          <w:p>
            <w:pPr>
              <w:jc w:val="left"/>
              <w:rPr>
                <w:lang w:bidi="ar"/>
              </w:rPr>
            </w:pPr>
          </w:p>
        </w:tc>
      </w:tr>
    </w:tbl>
    <w:p>
      <w:pPr>
        <w:ind w:firstLine="0" w:firstLineChars="0"/>
        <w:rPr>
          <w:highlight w:val="cyan"/>
        </w:rPr>
      </w:pPr>
    </w:p>
    <w:p>
      <w:pPr>
        <w:ind w:firstLine="0" w:firstLineChars="0"/>
      </w:pPr>
      <w:r>
        <w:rPr>
          <w:rFonts w:hint="eastAsia"/>
        </w:rPr>
        <w:t xml:space="preserve">特别说明：1、以上报价为含税报价，税率为  </w:t>
      </w:r>
      <w:r>
        <w:rPr>
          <w:rFonts w:ascii="Calibri" w:hAnsi="Calibri" w:eastAsia="宋体" w:cs="Times New Roman"/>
          <w:szCs w:val="22"/>
          <w:u w:val="single"/>
        </w:rPr>
        <w:t xml:space="preserve">     %  </w:t>
      </w:r>
      <w:r>
        <w:rPr>
          <w:rFonts w:hint="eastAsia"/>
        </w:rPr>
        <w:t xml:space="preserve">  ；</w:t>
      </w:r>
    </w:p>
    <w:p>
      <w:r>
        <w:rPr>
          <w:rFonts w:hint="eastAsia"/>
        </w:rPr>
        <w:t>2、以上综合单价为全费用综合单价，含人工费、材料（主材、辅材）费，机械费、措施费（包括但不限于放大绳、现场施工安全等）、管理费、利润、措施费、税金等所有费用，参选单位参选报价时须综合考虑并报价，后期不再调整。</w:t>
      </w:r>
    </w:p>
    <w:p>
      <w:pPr>
        <w:rPr>
          <w:highlight w:val="none"/>
        </w:rPr>
      </w:pPr>
      <w:r>
        <w:rPr>
          <w:rFonts w:hint="eastAsia"/>
        </w:rPr>
        <w:t>3、施工描述：</w:t>
      </w:r>
      <w:r>
        <w:rPr>
          <w:rFonts w:hint="eastAsia"/>
          <w:highlight w:val="none"/>
        </w:rPr>
        <w:t>需要将酒店弱电井垂直主干线更换为光纤线路并配置相应的光纤配线架；</w:t>
      </w:r>
    </w:p>
    <w:p>
      <w:pPr>
        <w:rPr>
          <w:highlight w:val="none"/>
        </w:rPr>
      </w:pPr>
      <w:r>
        <w:rPr>
          <w:rFonts w:hint="eastAsia"/>
          <w:highlight w:val="none"/>
        </w:rPr>
        <w:t>弱电井内的水平布线需要巡线打标签；（本次涉及的客网部分）</w:t>
      </w:r>
      <w:r>
        <w:rPr>
          <w:highlight w:val="none"/>
        </w:rPr>
        <w:t xml:space="preserve"> </w:t>
      </w:r>
    </w:p>
    <w:p>
      <w:pPr>
        <w:rPr>
          <w:highlight w:val="none"/>
        </w:rPr>
      </w:pPr>
      <w:r>
        <w:rPr>
          <w:rFonts w:hint="eastAsia"/>
          <w:highlight w:val="none"/>
        </w:rPr>
        <w:t>弱电井内由于空间有限，需考虑交换机的固定工作；</w:t>
      </w:r>
    </w:p>
    <w:p>
      <w:pPr>
        <w:rPr>
          <w:highlight w:val="none"/>
        </w:rPr>
      </w:pPr>
      <w:r>
        <w:rPr>
          <w:rFonts w:hint="eastAsia"/>
          <w:highlight w:val="none"/>
        </w:rPr>
        <w:t>服务间</w:t>
      </w:r>
      <w:r>
        <w:rPr>
          <w:highlight w:val="none"/>
        </w:rPr>
        <w:t>16+</w:t>
      </w:r>
      <w:r>
        <w:rPr>
          <w:rFonts w:hint="eastAsia"/>
          <w:highlight w:val="none"/>
        </w:rPr>
        <w:t>一层公区（全日餐厅、大堂吧、九华厅）</w:t>
      </w:r>
      <w:r>
        <w:rPr>
          <w:highlight w:val="none"/>
        </w:rPr>
        <w:t>3+</w:t>
      </w:r>
      <w:r>
        <w:rPr>
          <w:rFonts w:hint="eastAsia"/>
          <w:highlight w:val="none"/>
        </w:rPr>
        <w:t>二层公区（黄山、醉翁亭、镜湖、茶吧、逍遥津、皇藏峪）</w:t>
      </w:r>
      <w:r>
        <w:rPr>
          <w:highlight w:val="none"/>
        </w:rPr>
        <w:t>6</w:t>
      </w:r>
      <w:r>
        <w:rPr>
          <w:rFonts w:hint="eastAsia"/>
          <w:highlight w:val="none"/>
        </w:rPr>
        <w:t>，以上区域需要拉取</w:t>
      </w:r>
      <w:r>
        <w:rPr>
          <w:highlight w:val="none"/>
        </w:rPr>
        <w:t>25</w:t>
      </w:r>
      <w:r>
        <w:rPr>
          <w:rFonts w:hint="eastAsia"/>
          <w:highlight w:val="none"/>
        </w:rPr>
        <w:t>条的6类网络水平布线；</w:t>
      </w:r>
    </w:p>
    <w:p>
      <w:pPr>
        <w:rPr>
          <w:highlight w:val="none"/>
        </w:rPr>
      </w:pPr>
      <w:r>
        <w:rPr>
          <w:rFonts w:hint="eastAsia"/>
          <w:highlight w:val="none"/>
        </w:rPr>
        <w:t>需要整理弱电井线缆（本次涉及的客网部分）；</w:t>
      </w:r>
    </w:p>
    <w:p>
      <w:pPr>
        <w:ind w:firstLine="0" w:firstLineChars="0"/>
        <w:rPr>
          <w:rFonts w:hint="eastAsia" w:ascii="黑体" w:hAnsi="黑体" w:eastAsia="黑体" w:cs="Calibri"/>
          <w:sz w:val="32"/>
          <w:szCs w:val="32"/>
        </w:rPr>
      </w:pPr>
      <w:r>
        <w:rPr>
          <w:rFonts w:hint="eastAsia"/>
          <w:highlight w:val="none"/>
        </w:rPr>
        <w:t>部分客房到弱电井的网线，有部分网线存在只有</w:t>
      </w:r>
      <w:r>
        <w:rPr>
          <w:highlight w:val="none"/>
        </w:rPr>
        <w:t>4</w:t>
      </w:r>
      <w:r>
        <w:rPr>
          <w:rFonts w:hint="eastAsia"/>
          <w:highlight w:val="none"/>
        </w:rPr>
        <w:t>芯或</w:t>
      </w:r>
      <w:r>
        <w:rPr>
          <w:highlight w:val="none"/>
        </w:rPr>
        <w:t>6</w:t>
      </w:r>
      <w:r>
        <w:rPr>
          <w:rFonts w:hint="eastAsia"/>
          <w:highlight w:val="none"/>
        </w:rPr>
        <w:t>芯通的情况，对于这些线路需要配置相应数量的</w:t>
      </w:r>
      <w:r>
        <w:rPr>
          <w:highlight w:val="none"/>
        </w:rPr>
        <w:t>POE</w:t>
      </w:r>
      <w:r>
        <w:rPr>
          <w:rFonts w:hint="eastAsia"/>
          <w:highlight w:val="none"/>
        </w:rPr>
        <w:t>供电模块。</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E42194"/>
    <w:multiLevelType w:val="multilevel"/>
    <w:tmpl w:val="09E42194"/>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3CF531C2"/>
    <w:multiLevelType w:val="multilevel"/>
    <w:tmpl w:val="3CF531C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M2ODliZGZlZDNkYjFiMzhhNzFlZDUyYzNiOTY3NzkifQ=="/>
  </w:docVars>
  <w:rsids>
    <w:rsidRoot w:val="0CEF0EF7"/>
    <w:rsid w:val="000117FB"/>
    <w:rsid w:val="00031286"/>
    <w:rsid w:val="000715AF"/>
    <w:rsid w:val="00083EF8"/>
    <w:rsid w:val="000D2F0A"/>
    <w:rsid w:val="000E46BA"/>
    <w:rsid w:val="001309DD"/>
    <w:rsid w:val="00144925"/>
    <w:rsid w:val="00156808"/>
    <w:rsid w:val="0026168A"/>
    <w:rsid w:val="002A6FA0"/>
    <w:rsid w:val="002F6325"/>
    <w:rsid w:val="0030334D"/>
    <w:rsid w:val="00321385"/>
    <w:rsid w:val="00344049"/>
    <w:rsid w:val="00360E2F"/>
    <w:rsid w:val="00374385"/>
    <w:rsid w:val="00374B48"/>
    <w:rsid w:val="003A5066"/>
    <w:rsid w:val="003D7BB4"/>
    <w:rsid w:val="00430F65"/>
    <w:rsid w:val="0044056D"/>
    <w:rsid w:val="00465B2A"/>
    <w:rsid w:val="004734C7"/>
    <w:rsid w:val="00490C7B"/>
    <w:rsid w:val="0050407D"/>
    <w:rsid w:val="00515FA6"/>
    <w:rsid w:val="00534442"/>
    <w:rsid w:val="0058221A"/>
    <w:rsid w:val="005C3686"/>
    <w:rsid w:val="006347CA"/>
    <w:rsid w:val="006363D4"/>
    <w:rsid w:val="00653F47"/>
    <w:rsid w:val="006A6D61"/>
    <w:rsid w:val="006F0ED0"/>
    <w:rsid w:val="00735605"/>
    <w:rsid w:val="00735FB0"/>
    <w:rsid w:val="007E4F62"/>
    <w:rsid w:val="0081572F"/>
    <w:rsid w:val="008263B3"/>
    <w:rsid w:val="00850521"/>
    <w:rsid w:val="008A447C"/>
    <w:rsid w:val="00935BC1"/>
    <w:rsid w:val="00964E6D"/>
    <w:rsid w:val="00982108"/>
    <w:rsid w:val="009D0778"/>
    <w:rsid w:val="009D2548"/>
    <w:rsid w:val="00A11944"/>
    <w:rsid w:val="00A24D94"/>
    <w:rsid w:val="00A91A1A"/>
    <w:rsid w:val="00B5482A"/>
    <w:rsid w:val="00BC3DBC"/>
    <w:rsid w:val="00C33F67"/>
    <w:rsid w:val="00C87591"/>
    <w:rsid w:val="00CB6194"/>
    <w:rsid w:val="00D50D48"/>
    <w:rsid w:val="00DA6F00"/>
    <w:rsid w:val="00DF7FA9"/>
    <w:rsid w:val="00E323AB"/>
    <w:rsid w:val="00EF1553"/>
    <w:rsid w:val="00FA2FE9"/>
    <w:rsid w:val="00FB7698"/>
    <w:rsid w:val="00FC142E"/>
    <w:rsid w:val="00FC2CAF"/>
    <w:rsid w:val="0CEF0EF7"/>
    <w:rsid w:val="4A346984"/>
    <w:rsid w:val="5C747F85"/>
    <w:rsid w:val="7277598B"/>
    <w:rsid w:val="7F576D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line="230" w:lineRule="exact"/>
      <w:textAlignment w:val="center"/>
      <w:pPrChange w:id="0" w:author="BAOYAN HUA" w:date="2024-01-24T18:20:00Z">
        <w:pPr>
          <w:widowControl w:val="0"/>
          <w:jc w:val="both"/>
        </w:pPr>
      </w:pPrChange>
    </w:pPr>
    <w:rPr>
      <w:rFonts w:ascii="Calibri" w:hAnsi="Calibri" w:eastAsia="宋体" w:cs="Times New Roman"/>
      <w:kern w:val="2"/>
      <w:sz w:val="21"/>
      <w:szCs w:val="22"/>
      <w:lang w:val="en-US" w:eastAsia="zh-CN" w:bidi="ar-SA"/>
      <w:rPrChange w:id="1" w:author="BAOYAN HUA" w:date="2024-01-24T18:20:00Z">
        <w:rPr>
          <w:rFonts w:ascii="Calibri" w:hAnsi="Calibri" w:eastAsia="宋体"/>
          <w:kern w:val="2"/>
          <w:sz w:val="21"/>
          <w:szCs w:val="22"/>
          <w:lang w:val="en-US" w:eastAsia="zh-CN" w:bidi="ar-SA"/>
        </w:rPr>
      </w:rPrChange>
    </w:rPr>
  </w:style>
  <w:style w:type="character" w:default="1" w:styleId="3">
    <w:name w:val="Default Paragraph Font"/>
    <w:autoRedefine/>
    <w:semiHidden/>
    <w:unhideWhenUsed/>
    <w:qFormat/>
    <w:uiPriority w:val="1"/>
  </w:style>
  <w:style w:type="table" w:default="1" w:styleId="2">
    <w:name w:val="Normal Table"/>
    <w:autoRedefine/>
    <w:semiHidden/>
    <w:unhideWhenUsed/>
    <w:qFormat/>
    <w:uiPriority w:val="99"/>
    <w:tblPr>
      <w:tblCellMar>
        <w:top w:w="0" w:type="dxa"/>
        <w:left w:w="108" w:type="dxa"/>
        <w:bottom w:w="0" w:type="dxa"/>
        <w:right w:w="108" w:type="dxa"/>
      </w:tblCellMar>
    </w:tblPr>
  </w:style>
  <w:style w:type="paragraph" w:customStyle="1" w:styleId="4">
    <w:name w:val="Revision"/>
    <w:autoRedefine/>
    <w:hidden/>
    <w:unhideWhenUsed/>
    <w:qFormat/>
    <w:uiPriority w:val="99"/>
    <w:rPr>
      <w:rFonts w:ascii="Calibri" w:hAnsi="Calibri" w:eastAsia="宋体" w:cs="Times New Roman"/>
      <w:kern w:val="2"/>
      <w:sz w:val="21"/>
      <w:szCs w:val="22"/>
      <w:lang w:val="en-US" w:eastAsia="zh-CN" w:bidi="ar-SA"/>
    </w:rPr>
  </w:style>
  <w:style w:type="paragraph" w:styleId="5">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327</Words>
  <Characters>1867</Characters>
  <Lines>15</Lines>
  <Paragraphs>4</Paragraphs>
  <TotalTime>46</TotalTime>
  <ScaleCrop>false</ScaleCrop>
  <LinksUpToDate>false</LinksUpToDate>
  <CharactersWithSpaces>2190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2024-01-02T08:46:00Z</dcterms:created>
  <dc:creator>Flower°</dc:creator>
  <cp:lastModifiedBy>樊毅韬</cp:lastModifiedBy>
  <dcterms:modified xsi:type="dcterms:W3CDTF">2024-02-18T00:43:35Z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6EE4CEAEB1A44281BAF764E799FB1373_13</vt:lpwstr>
  </property>
</Properties>
</file>